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HE180332 vom 13. September 2018</w:t>
      </w:r>
    </w:p>
    <w:p>
      <w:r>
        <w:t>Zh Handelsgericht, 2018-09-13, DE</w:t>
      </w:r>
    </w:p>
    <w:p>
      <w:r>
        <w:rPr>
          <w:b/>
        </w:rPr>
        <w:t xml:space="preserve">Quelle: </w:t>
      </w:r>
      <w:r>
        <w:t>https://mcp.opencaselaw.ch/entscheid/zh_handelsgericht_HE180332</w:t>
      </w:r>
    </w:p>
    <w:p>
      <w:r>
        <w:t>FR: ZH_HANDELSGERICHT HE180332 du 13 septembre 2018</w:t>
      </w:r>
    </w:p>
    <w:p>
      <w:r>
        <w:t>IT: ZH_HANDELSGERICHT HE180332 del 13 settembre 2018</w:t>
      </w:r>
    </w:p>
    <w:p>
      <w:pPr>
        <w:pStyle w:val="Heading2"/>
      </w:pPr>
      <w:r>
        <w:t>Erwägungen</w:t>
      </w:r>
    </w:p>
    <w:p>
      <w:r>
        <w:rPr>
          <w:b/>
        </w:rPr>
        <w:t>E. 2</w:t>
      </w:r>
    </w:p>
    <w:p>
      <w:r>
        <w:t>es sei sodann die Gesuchsgegnerin unter Androhung der Zwangsvollstreckung im Unterlassungsfall zu verurteilen, die Ge- werberäume EG Nord ... Büro/Lager/Ausstellung und ... Autoab- stellplätze gemäss Parkfeldplan an der C._____-Strasse ..., D._____, der Gesuchstellerin unverzüglich ordnungsgemäss zu übergeben;</w:t>
      </w:r>
    </w:p>
    <w:p>
      <w:r>
        <w:rPr>
          <w:b/>
        </w:rPr>
        <w:t>E. 3</w:t>
      </w:r>
    </w:p>
    <w:p>
      <w:r>
        <w:t>Organisationsmangel Die Klägerin stellt in Ziffer 1 des Rechtsbegehrens einen Antrag auf Anord- nung von Massnahmen nach Art. 713b OR. Ein Verfahren betreffend Organisati- onsmangel gegen die Beklagte war im Zeitpunkt des Ausweisungsgesuchs be- reits abgeschlossen; die Liquidation der Beklagten wurde mit Urteil vom 23. Juli 2018 angeordnet. Dieses Urteil wurde mit Verfügung vom 23. August 2018 wieder aufgehoben; der Organisationsmangel ist in der Zwischenzeit seitens der Beklag- ten behoben worden. Damit ist das diesbezügliche Begehren der Klägerin gegen- standslos.</w:t>
      </w:r>
    </w:p>
    <w:p>
      <w:r>
        <w:rPr>
          <w:b/>
        </w:rPr>
        <w:t>E. 4</w:t>
      </w:r>
    </w:p>
    <w:p>
      <w:r>
        <w:t>Rechtliches</w:t>
      </w:r>
    </w:p>
    <w:p>
      <w:r>
        <w:rPr>
          <w:b/>
        </w:rPr>
        <w:t>E. 4.1</w:t>
      </w:r>
    </w:p>
    <w:p>
      <w:r>
        <w:t>Gemäss Art. 257 Abs. 1 ZPO gewährt das Gericht nur dann Rechtsschutz im summarischen Verfahren, wenn der Sachverhalt unbestritten oder sofort be- weisbar (lit. a) und die Rechtslage klar ist (lit. b). Fehlt eine dieser Voraussetzun- gen, ist auf das Gesuch nicht einzutreten (Art. 257 Abs. 3 ZPO). Die Rechtslage ist klar, wenn sich die Rechtsfolge bei der Anwendung des Gesetzes unter Be- rücksichtigung der Lehre und Rechtsprechung ohne Weiteres ergibt und damit die Rechtsanwendung zu einem eindeutigen Ergebnis führt (BGE 138 III 123, E. 2.1.2, m.w.H.). Bestreitet die beklagte Partei den Sachverhalt, so kann der Rechtsschutz nur gewährt werden, wenn die klagende Partei den Sachverhalt (die anspruchsbegründenden Tatsachen) zu beweisen vermag; und zwar sofort. So- fort beweisbar ist ein Sachverhalt nach der Rechtsprechung des Bundesgerichts, wenn er ohne zeitliche Verzögerung und ohne besonderen Aufwand nachgewie- sen werden kann (Urteil des Bundesgerichts 5A_768/2012, E. 4.2.1; BGE 138 III 123, E. 2.1.1; BGE 138 III 620, E. 5.1.1). Es muss in Anbetracht der Einwendun- gen und Einreden der beklagten Partei noch ein liquider Sachverhalt, d.h. ein kla- rer Fall, vorliegen. Offensichtlich haltlose bzw. offensichtlich unbegründete (blosse "Schutz")Behauptungen, über die sofort entschieden werden kann, genügen in- dessen nicht, um einen klaren Fall auszuschliessen (BGE 138 III 620, E. 5.1.1).</w:t>
      </w:r>
    </w:p>
    <w:p>
      <w:r>
        <w:rPr>
          <w:b/>
        </w:rPr>
        <w:t>E. 4.2</w:t>
      </w:r>
    </w:p>
    <w:p>
      <w:r>
        <w:t>Bei Zahlungsrückstand des Mieters kann ihm der Vermieter schriftlich eine Zahlungsfrist setzen und ihm androhen, dass bei unbenütztem Ablauf der Frist</w:t>
      </w:r>
    </w:p>
    <w:p>
      <w:r>
        <w:t>- 4 - das Mietverhältnis gekündigt werde. Diese Frist beträgt bei Geschäftsräumen 30 Tage. Bezahlt der Mieter innert der gesetzten Frist nicht, so kann der Vermieter fristlos, bei Geschäftsräumen mit einer Frist von mindestens 30 Tagen auf Ende eines Monats kündigen (Art. 257d OR).</w:t>
      </w:r>
    </w:p>
    <w:p>
      <w:r>
        <w:rPr>
          <w:b/>
        </w:rPr>
        <w:t>E. 4.3</w:t>
      </w:r>
    </w:p>
    <w:p>
      <w:r>
        <w:t>Nach beendetem Mietverhältnis muss der Mieter die Sache gemäss Art. 267 OR dem Vermieter zurückgeben. Zur Durchsetzung des Rückgabean- spruchs bei Wohn- und Geschäftsräumen kann der Vermieter die Ausweisung des Mieters beantragen (SVIT-Kommentar Mietrecht, 3. Aufl., Zürich 2008, Art. 267-267a N. 15). Mit der Ausweisungsklage kann der Vermieter Vollstre- ckungsmassnahmen, d.h. insbesondere einen Ausweisungsbefehl, verlangen (Art. 236 Abs. 3 ZPO und Art. 337 Abs. 1 ZPO).</w:t>
      </w:r>
    </w:p>
    <w:p>
      <w:r>
        <w:rPr>
          <w:b/>
        </w:rPr>
        <w:t>E. 5</w:t>
      </w:r>
    </w:p>
    <w:p>
      <w:r>
        <w:t>Sachverhalt und Würdigung</w:t>
      </w:r>
    </w:p>
    <w:p>
      <w:r>
        <w:rPr>
          <w:b/>
        </w:rPr>
        <w:t>E. 5.1</w:t>
      </w:r>
    </w:p>
    <w:p>
      <w:r>
        <w:t>Nach übereinstimmender Sachdarstellung und durch Akten belegt schlos- sen die Parteien am 9./13. August 2011 einen Mietvertrag über eine Gewerbeflä- che im Erdgeschoss (680 m2) an der C._____-Strasse ..., D._____ sowie über ... Parkplätze (act. 1 Rz. II.1; act. 14 Rz. 5; act. 4/4). Mit Einschreiben vom 5. März 2018 mahnte die Klägerin ausstehende Mietzinse im Umfang von CHF 10'153.– und drohte der Beklagten die Kündigung an (act. 1 Rz. II.2; act. 4/5/1). Das Schreiben wurde der Beklagten zugestellt (act. 4/5/3). Nachdem innert angesetz- ter Frist keine Zahlung eingegangen ist, kündigte die Klägerin das Mietverhältnis mit Einschreiben vom 12. April 2018 auf Ende Mai 2018 (act. 1 Rz. II.3; act. 4/6). Die Beklagte bestreitet den Zugang der Kündigungsandrohung nicht und bestätigt den Erhalt der Kündigung (act. 14 Rz. 6). Ein gegen die Kündigung eingeleitetes Schlichtungsbegehren wurde aufgrund Säumnis der Beklagten an der Schlich- tungsverhandlung zufolge Gegenstandslosigkeit abgeschrieben (act. 1 Rz. II.4; act. 4/3; act. 4/7).</w:t>
      </w:r>
    </w:p>
    <w:p>
      <w:r>
        <w:rPr>
          <w:b/>
        </w:rPr>
        <w:t>E. 5.2</w:t>
      </w:r>
    </w:p>
    <w:p>
      <w:r>
        <w:t>Die Klägerin hat die formellen Voraussetzungen von Art. 257d OR einge- halten. Sie hat der Beklagten für die Bezahlung der ausstehenden Mietzinsen ei- ne Frist von 30 Tagen angesetzt. Die Zahlungsaufforderung ist der Klägerin am</w:t>
      </w:r>
    </w:p>
    <w:p>
      <w:r>
        <w:rPr>
          <w:b/>
        </w:rPr>
        <w:t>E. 5.3</w:t>
      </w:r>
    </w:p>
    <w:p>
      <w:r>
        <w:t>Die Beklagte erhebt in ihrer Klageantwort verschiedene Einwände gegen die Ausweisung. So macht sie geltend, es seien bereits früher Schlichtungsver- fahren durchgeführt worden, wobei sich die Parteien auf eine Erstreckung bis 31. Juli 2019 geeinigt hätten (act. 14 Rz. 7). Dabei verkennt die Beklagte, dass auch während der Erstreckung eine ausserordentliche Kündigung möglich ist (ROGER WEBER, in: HONSELL/VOGT/WIEGAND, Basler Kommentar Obligationen- recht I, 6. Aufl., Basel 2015, N 3 zu Art. 272d OR). Weiter macht die Beklagte geltend, die Kündigung sei nichtig, da die Kläge- rin im gleichen Gebäude einen Konkurrenzbetrieb zugelassen habe. Zudem hät- ten die Kunden des Konkurrenzbetriebs die Parkplätze der Beklagten genutzt. Diese gravierenden Vertragsverletzungen hätten zu einem massiven Umsatz- rückgang geführt. Es handle sich um offensichtlich um eine vorsätzliche Schädi- gung. Zufolge Nichterfüllung könne die Klägerin keine Gegenleistung fordern (act. 14 Rz. 8 ff.). Die Beklagte legt nicht näher dar, welche Bestimmungen des Vertrages verletzt worden sein sollen. So ist im eingereichten Mietvertrag kein Konkurrenzverbot oder eine ähnliche Bestimmung ersichtlich. Auch besteht keine Verpflichtung der Klägerin, dafür zu sorgen, dass keine unberechtigten Dritten auf den gemieteten Parkplätzen parkieren. Der Vorsatz einer Schädigung steht eben- falls als unsubstantiierte Behauptung im Raum. Sicherlich kann nicht pauschal von einer Nichterfüllung durch die Klägerin und einem Verwirken des Anspruchs auf den Mietzins ausgegangen werden. Die Hauptpflicht der Klägerin, nämlich das zur Verfügung stellen der Räumlichkeiten und der Parkplätze, hat diese jederzeit erfüllt. Zudem ist zu bemerken, dass die Beklagte einen Umsatzrückgang erst im März 2018 und eine Meldung am 21. März 2018 behauptet, während die Zahlung bereits per 1. März 2018 fällig gewesen wäre und am 5. März 2018 gemahnt wur- de. Auch in dieser Hinsicht ist ein Zusammenhang zwischen dem behaupteten</w:t>
      </w:r>
    </w:p>
    <w:p>
      <w:r>
        <w:t>- 6 - Umsatzrückgang und der ausgebliebenen Zahlung nicht ersichtlich. Eine Nichtig- keit der Kündigung kann daraus nicht hergeleitet werden. Soweit die Beklagte geltend machen will, aufgrund der erklärten Verrech- nung mit (nicht näher bezifferten) eigenen Ansprüchen habe im Zeitpunkt der Kündigung keine offene Forderung der Klägerin bestanden (act. 14 Rz. 13), kann ihr ebenfalls nicht gefolgt werden. Zwar erfolgt die Tilgung bei einer Verrechnung rückwirkend, doch ist nicht ersichtlich ob, in welchem Umfang und seit wann eine Schadenersatzforderung der Beklagten bestanden haben soll. Es wäre an der Beklagten, ihre Ansprüche zumindest summarisch darzulegen. Ohne entspre- chende Vorbringen ist die Aussage als reine Schutzbehauptung anzusehen. Schliesslich hält die Beklagte fest, das Anfechtungsverfahren habe aufgrund eines Organisationsmangels nicht durchgeführt werden können (act. 13 Rz. 12). Auch dieser Einwand kann nicht gehört werden. Fakt ist: Das Anfechtungsverfah- ren wurde zufolge Gegenstandslosigkeit abgeschrieben und die Kündigung ist damit wirksam geblieben. Die Organisation der Gesellschaft liegt im Verantwor- tungsbereich der Beklagten. Die Folgen eines Organisationsmangels hat sie selbst zu tragen. Sie hätte sich rechtzeitig um eine Mangelbehebung kümmern müssen und nicht erst nach der angeordneten Auflösung der Gesellschaft. Zudem ist zu bemerken, dass der Mangel einzig durch den Austritt des heutigen Rechts- vertreters der Beklagten aus dem Verwaltungsrat entstanden ist. Als Rechtsan- walt hätten diesem die weitreichenden Folgen seines Verhaltens bekannt sein müssen. Die Beklagte ist jedenfalls nicht zu schützen. Zusammengefasst vermögen die Vorbringen der Beklagten die Ausführun- gen der Klägerin nicht zu entkräften.</w:t>
      </w:r>
    </w:p>
    <w:p>
      <w:r>
        <w:rPr>
          <w:b/>
        </w:rPr>
        <w:t>E. 5.4</w:t>
      </w:r>
    </w:p>
    <w:p>
      <w:r>
        <w:t>Der Fall ist liquid und damit ein Anspruch nach Art. 257 ZPO gegeben. Die Beklagte hält sich ohne Rechtsgrund im Mietobjekt auf, weshalb der Auswei- sungsbefehl zu erteilen ist. Antragsgemäss ist daher der Beklagten zu befehlen, das Mietobjekt (EG Nord ... Büro / Lager / Ausstellung und ... Autoabstellplätze gemäss Parkfeldplan an der C._____-Strasse ..., D._____) unverzüglich zu räu- men und der Klägerin ordnungsgemäss zu übergeben.</w:t>
      </w:r>
    </w:p>
    <w:p>
      <w:r>
        <w:t>- 7 -</w:t>
      </w:r>
    </w:p>
    <w:p>
      <w:r>
        <w:rPr>
          <w:b/>
        </w:rPr>
        <w:t>E. 5.5</w:t>
      </w:r>
    </w:p>
    <w:p>
      <w:r>
        <w:t>Die Klägerin beantragt zudem Vollstreckungsmassnahmen. Sie verlangt, dass das zuständige Stadtammannamt … anzuweisen sei, den zu erlassenden Befehl nach "Eintritt der Vollstreckbarkeit" auf erstes Verlangen der Klägerin zu vollstrecken. Vollstreckbar sind Urteile des Handelsgerichts schon mit deren Aus- fällung bzw. Mitteilung an die Parteien (BGE 142 III 738 E. 5.5.4), zumindest bis das Bundesgericht allenfalls einer allfälligen Beschwerde die aufschiebende Wir- kung erteilt. Eine Aufschiebung der Zwangsvollstreckung zur Ermöglichung des freiwilligen Vollzugs ist vorliegend nicht gerechtfertigt, zumal sich die Beklagte be- reits seit mehr als drei Monaten unrechtmässig in den Räumlichkeiten befindet und aufgrund ihres Verhaltens auch nicht davon ausgegangen werden kann, dass sie diese innert nützlicher Frist freiwillig verlassen würde. Damit sind die vorlie- gend angemessenen Vollstreckungsmassnahmen ohne Übergangsfrist anzuord- nen.</w:t>
      </w:r>
    </w:p>
    <w:p>
      <w:r>
        <w:rPr>
          <w:b/>
        </w:rPr>
        <w:t>E. 6</w:t>
      </w:r>
    </w:p>
    <w:p>
      <w:r>
        <w:t>Kosten Der Streitwert erreicht unstrittig CHF 60'918.00. In Anwendung von § 4 Abs. 1 und 2 und § 8 Abs. 1 GebV OG ist die Gerichtsgebühr auf rund zwei Drittel der Grundgebühr festzusetzen. Ausgangsgemäss hat die Beklagte die Kosten des gutheissenden Entscheids zu tragen (Art. 106 Abs. 1 ZPO). Die Beklagte ist zu- dem zu verpflichten, der Klägerin eine Parteientschädigung von CHF 4'000.– zu bezahlen (§ 4 Abs. 1 und 2 i.V.m. § 11 Abs. 1 AnwGebV). Mehrwertsteuerersatz ist mangels Begründung nicht geschuldet (BGer 4A_552/2015 E. 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