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ZH_HANDELSGERICHT HE180111 vom 6. August 2018</w:t>
      </w:r>
    </w:p>
    <w:p>
      <w:r>
        <w:t>Zh Handelsgericht, 2018-08-06, DE</w:t>
      </w:r>
    </w:p>
    <w:p>
      <w:r>
        <w:rPr>
          <w:b/>
        </w:rPr>
        <w:t xml:space="preserve">Quelle: </w:t>
      </w:r>
      <w:r>
        <w:t>https://mcp.opencaselaw.ch/entscheid/zh_handelsgericht_HE180111</w:t>
      </w:r>
    </w:p>
    <w:p>
      <w:r>
        <w:t>FR: ZH_HANDELSGERICHT HE180111 du 6 août 2018</w:t>
      </w:r>
    </w:p>
    <w:p>
      <w:r>
        <w:t>IT: ZH_HANDELSGERICHT HE180111 del 6 agosto 2018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August 2016 datierende Offerte ein, in welcher er A._____ einen Preis von CHF 134'500 für dessen Aktien anbot, wobei noch "50% der ausgeschütteten Gewinnbeteiligung aus dem to dato abgeschlossenen Geschäft" hinzugekommen wären (act. 23/2). A._____ nannte keine Zahlen bezüglich seiner Offerte(n). Wä- ren sie offenbart worden, hätte erst die Notwendigkeit einer Begutachtung geprüft werden können, welche entfallen wäre, falls die Zahlen nicht allzu weit auseinan- der gelegen wären. 9.8 Als vernünftigste und beste Lösung verbleibt das Kaufgeschäft mit A._____ als Käufer und C._____ als Verkäufer. Dabei hat das Nachfolgende zu gelten.</w:t>
      </w:r>
    </w:p>
    <w:p>
      <w:r>
        <w:t>- 11 - 9.8.1 Gemäss act. 20 offerierte A._____ einen Preis von CHF 125'000 (Rz. 13). Wie erwähnt, teilte die Rechtsvertreterin A._____s dem Gericht unaufgefordert mit, in die Offerte seien Ansprüche der Gesellschaft gegen C._____ im Betrage von CHF 35'000 eingerechnet (Prot.S. 8). Das bedeutet aber nichts anderes, als dass A._____ einen Preis von CHF 160'000 für angemessen hält. Eine Verrech- nung ist nur zwischen den selben Parteien möglich (Art. 120 OR). Mit einer Forde- rung der Gesellschaft gegenüber C._____ kann A._____ nicht verrechnen. Folg- lich ist ein Preis von CHF 160'000 einzusetzen. 9.8.2 C._____ ist zu verpflichten, die Offerte anzunehmen, wobei seine Erklärung durch den vorliegenden Entscheid, soweit vollstreckbar, ersetzt wird (Art. 344 Abs. 1 ZPO). Gleichzeitig ist A._____ zu verpflichten die Aktien zu kaufen. 9.8.3 Gemäss dem Rechtsbegehren A._____s sind die Namenaktien der Beklag- ten in Aktienzertifikaten verurkundet. Die Übertragung kann durch Indossament oder Zession erfolgen (vgl. Meier-Hayoz/Forstmoser, Schweizerisches Gesell- schaftsrecht, Bern 2012, § 16 N 290, N 304). Die Verpflichtung C._____s ist ent- sprechend zu formulieren. 10. Act. 17-A ist verschlossen bei den Akten zu belassen und A._____ nach defi- nitiver Beendigung des Verfahrens mit seinen anderen Einlegerakten zurückzu- geben. 11. Die Beklagte kann kaum als unterliegende Partei gelten. Sie hat aber die Ur- sache des Verfahrens gesetzt. Deshalb sind ihr die Kosten aufzuerlegen und hat sie dem Kläger die übliche Umtriebsentschädigung zu zahlen (Art. 107 Abs 1 lit. f ZPO). Bei den Kosten ist die Regelgebühr von CHF 2‘200 wegen des erheblichen Aufwandes um rund einen Drittel zu erhöhen (§ 4 Abs. 2 GGebV).</w:t>
      </w:r>
    </w:p>
    <w:p>
      <w:r>
        <w:t>- 12 - Der Einzelrichter verfügt 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