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HE170439 vom 6. Dezember 2017</w:t>
      </w:r>
    </w:p>
    <w:p>
      <w:r>
        <w:t>Zh Handelsgericht, 2017-12-06, DE</w:t>
      </w:r>
    </w:p>
    <w:p>
      <w:r>
        <w:rPr>
          <w:b/>
        </w:rPr>
        <w:t xml:space="preserve">Quelle: </w:t>
      </w:r>
      <w:r>
        <w:t>https://mcp.opencaselaw.ch/entscheid/zh_handelsgericht_HE170439</w:t>
      </w:r>
    </w:p>
    <w:p>
      <w:r>
        <w:t>FR: ZH_HANDELSGERICHT HE170439 du 6 décembre 2017</w:t>
      </w:r>
    </w:p>
    <w:p>
      <w:r>
        <w:t>IT: ZH_HANDELSGERICHT HE170439 del 6 dicembre 2017</w:t>
      </w:r>
    </w:p>
    <w:p>
      <w:pPr>
        <w:pStyle w:val="Heading2"/>
      </w:pPr>
      <w:r>
        <w:t>Erwägungen</w:t>
      </w:r>
    </w:p>
    <w:p>
      <w:r>
        <w:rPr>
          <w:b/>
        </w:rPr>
        <w:t>E. 1</w:t>
      </w:r>
    </w:p>
    <w:p>
      <w:r>
        <w:t>B._____ GmbH,</w:t>
      </w:r>
    </w:p>
    <w:p>
      <w:r>
        <w:rPr>
          <w:b/>
        </w:rPr>
        <w:t>E. 2</w:t>
      </w:r>
    </w:p>
    <w:p>
      <w:r>
        <w:t>Sachverhalt und Würdigung</w:t>
      </w:r>
    </w:p>
    <w:p>
      <w:r>
        <w:t>- 3 -</w:t>
      </w:r>
    </w:p>
    <w:p>
      <w:r>
        <w:rPr>
          <w:b/>
        </w:rPr>
        <w:t>E. 2.1</w:t>
      </w:r>
    </w:p>
    <w:p>
      <w:r>
        <w:t>Einwand der Gesuchsgegnerinnen bezüglich des Bestands und des Um- fangs der Forderung der Gesuchstellerin Die Bestreitungen der Gesuchsgegnerinnen sind vorliegend lediglich pauschal und allgemein gehalten. Sie erheben lediglich unspezifische Einwände gegen den "Bestand und Umfang" der Forderung der Gesuchstellerin (act. 11 S. 1). Es sei ihnen nämlich aufgrund der fehlenden Lieferscheine nicht möglich, die Richtigkeit der geltend gemachten Rechnungsbeträge zu überprüfen (act. 11 S. 1). Mit derartigen Ausführungen kommen die Gesuchsgegnerinnen ihrer Bestrei- tungslast nicht nach, weshalb der Standpunkt der Gesuchstellerin als unbestritten zu gelten hat. Angesichts der detaillierten, im Recht liegenden Rechnungen der gesuchstellenden Partei (act. 3/6-8) wäre es nämlich an den Gesuchsgegnerin- nen gewesen, substantiiert aufzuzeigen, welche einzelnen Positionen ihrer Auf- fassung nach nicht durch sie geschuldet sind (vgl. BGE 141 III 433 E. 2.6). Un- behelflich ist in diesem Zusammenhang der Hinweis auf die fehlenden Liefer- scheine. Denn aus den Rechnungen geht klar hervor, wann – nach Auffassung der Gesuchstellerin – Beton effektiv geliefert wurde. Im Übrigen reichte die Ge- suchstellerin hinsichtlich zweier Rechnungen auch Lieferscheine ein, zu welchen sich die Gesuchsgegnerinnen aber nicht vernehmen liessen (act. 3/6-7). Demnach ist die Pfandsumme gestützt auf den im Recht liegenden Vertrag (act. 3/1) ausgewiesen. Die Gesuchsgegnerinnen bestritten auch die Einhaltung der viermonatigen Frist von Art. 839 Abs. 2 ZGB nicht. Diese ist somit gewahrt.</w:t>
      </w:r>
    </w:p>
    <w:p>
      <w:r>
        <w:rPr>
          <w:b/>
        </w:rPr>
        <w:t>E. 2.2</w:t>
      </w:r>
    </w:p>
    <w:p>
      <w:r>
        <w:t>Einwand der Gesuchsgegnerinnen bezüglich fehlendes, selbständiges Grundbuchblatt Der Einwand der Gesuchsgegnerinnen, die Miteigentumsanteile würden nicht über ein selbständiges Grundbuchblatt verfügen, vermag ebenfalls nicht zu ver- fangen. Zum einen handelt es sich um ein reines Vollzugsproblem, welches aus- serhalb des gerichtlichen Verfahrens in der Verantwortung des Grundbuchamtes steht (vgl. Art. 23 GBV) und zum anderen können Miteigentumsanteile separat mit Bauhandwerkerpfandrechten belastet werden (so bereits: BGE 111 III 31 E. 3). Der Bauunternehmer hat die Wahl, ob er die Anteile oder die Gesamtliegenschaft belasten will (BSK ZGB II-THURNHERR, Art. 839/840 ZGB N 14 m.w.H.).</w:t>
      </w:r>
    </w:p>
    <w:p>
      <w:r>
        <w:t>- 4 -</w:t>
      </w:r>
    </w:p>
    <w:p>
      <w:r>
        <w:rPr>
          <w:b/>
        </w:rPr>
        <w:t>E. 2.3</w:t>
      </w:r>
    </w:p>
    <w:p>
      <w:r>
        <w:t>Fazit Zusammenfassend ist die bereits superprovisorisch erfolgte Eintragung des Pfandrechts zu bestätigen.</w:t>
      </w:r>
    </w:p>
    <w:p>
      <w:r>
        <w:rPr>
          <w:b/>
        </w:rPr>
        <w:t>E. 3</w:t>
      </w:r>
    </w:p>
    <w:p>
      <w:r>
        <w:t>Die Gerichtsgebühr beträgt CHF 9'000.–.</w:t>
      </w:r>
    </w:p>
    <w:p>
      <w:r>
        <w:rPr>
          <w:b/>
        </w:rPr>
        <w:t>E. 4</w:t>
      </w:r>
    </w:p>
    <w:p>
      <w:r>
        <w:t>Die Kosten gemäss Dispositiv-Ziffer 3 werden von der Gesuchstellerin be- zogen. Vorbehalten bleibt der endgültige Entscheid des Gerichts im nachfol- genden ordentlichen Verfahren. Für den Fall, dass die Gesuchstellerin innert Frist gemäss Dispositiv-Ziffer 2 die Klage nicht anhängig macht, werden ihr die Kosten definitiv auferlegt.</w:t>
      </w:r>
    </w:p>
    <w:p>
      <w:r>
        <w:rPr>
          <w:b/>
        </w:rPr>
        <w:t>E. 5</w:t>
      </w:r>
    </w:p>
    <w:p>
      <w:r>
        <w:t>Die Regelung der Entschädigungsfolgen wird dem Gericht im nachfolgenden ordentlichen Verfahren vorbehalten. Versäumt die Gesuchstellerin jedoch die ihr in Dispositiv-Ziffer 2 angesetzte Frist zur Anhängigmachung der Kla- ge, wird sie verpflichtet, den Gesuchsgegnerinnen eine Parteientschädigung von CHF 14'300 (je CHF 7'150.–) zu bezahlen.</w:t>
      </w:r>
    </w:p>
    <w:p>
      <w:r>
        <w:rPr>
          <w:b/>
        </w:rPr>
        <w:t>E. 6</w:t>
      </w:r>
    </w:p>
    <w:p>
      <w:r>
        <w:t>Schriftliche Mitteilung an die Parteien, an die Gesuchstellerin unter Beilage eines Doppels von act. 11-13 sowie an das Grundbuchamt D._____.</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404'141.20. Die gesetzlichen Fristenstillstände gelten nicht (Art. 46 Abs. 2 BGG).</w:t>
      </w:r>
    </w:p>
    <w:p>
      <w:r>
        <w:t>- 6 - Zürich, 6. Dezember 2017 HANDELSGERICHT DES KANTONS ZÜRICH Einzelgericht Der Gerichtsschreiber: Dr. Moritz Vischer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