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HE170301 vom 10. Oktober 2017</w:t>
      </w:r>
    </w:p>
    <w:p>
      <w:r>
        <w:t>Zh Handelsgericht, 2017-10-10, DE</w:t>
      </w:r>
    </w:p>
    <w:p>
      <w:r>
        <w:rPr>
          <w:b/>
        </w:rPr>
        <w:t xml:space="preserve">Quelle: </w:t>
      </w:r>
      <w:r>
        <w:t>https://mcp.opencaselaw.ch/entscheid/zh_handelsgericht_HE170301</w:t>
      </w:r>
    </w:p>
    <w:p>
      <w:r>
        <w:t>FR: ZH_HANDELSGERICHT HE170301 du 10 octobre 2017</w:t>
      </w:r>
    </w:p>
    <w:p>
      <w:r>
        <w:t>IT: ZH_HANDELSGERICHT HE170301 del 10 ottobre 2017</w:t>
      </w:r>
    </w:p>
    <w:p>
      <w:pPr>
        <w:pStyle w:val="Heading2"/>
      </w:pPr>
      <w:r>
        <w:t>Erwägungen</w:t>
      </w:r>
    </w:p>
    <w:p>
      <w:r>
        <w:rPr>
          <w:b/>
        </w:rPr>
        <w:t>E. 4</w:t>
      </w:r>
    </w:p>
    <w:p>
      <w:r>
        <w:t>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[m.w.H.]).</w:t>
      </w:r>
    </w:p>
    <w:p>
      <w:r>
        <w:t>- 4 -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 Nach beendetem Mietverhältnis muss der Mieter die Sache gemäss Art. 267 OR dem Vermieter zurückgeben. Zur Durchsetzung des Rückgabeanspruchs bei Wohn- und Geschäftsräumen kann der Vermieter die Ausweisung des Mieters beantragen (SVIT-Kommentar Mietrecht, 3. Aufl., Zürich 2008, Art. 267-267a N. 15). Mit der Ausweisungsklage kann der Vermieter Vollstreckungsmassnah- men, d.h. insbesondere einen Ausweisungsbefehl, verlangen (Art. 236 Abs. 3 ZPO und Art. 337 Abs. 1 ZPO).</w:t>
      </w:r>
    </w:p>
    <w:p>
      <w:r>
        <w:rPr>
          <w:b/>
        </w:rPr>
        <w:t>E. 5</w:t>
      </w:r>
    </w:p>
    <w:p>
      <w:r>
        <w:t>Würdigung Der Sachverhalt ist unbestritten und die Kündigung der Mieträume erfolgte geset- zeskonform, was von der Beklagten nicht in Abrede gestellt wird. Die Beklagte macht indessen geltend, dass sie einen ganzen Jahresmietzins (CHF 163'390.–) hinterlegt habe, womit die Mietzinse bis und mit Dezember 2017 sichergestellt seien. Da sich die Suche nach neuen Mieträumlichkeiten überdies schwierig ge- stalte, sei es angemessen, die Ausweisung bis Ende November 2017 aufzuschie- ben (act. 9 Rz. 1 ff.). Die Hinterlegung eines Jahresmietzinses ändert nichts da- ran, dass das Mietverhältnis gesetzeskonform aufgelöst wurde und die Mietobjek- te zurückzugeben sind. Sie führt auch nicht zur Unverhältnismässigkeit der sofor- tigen Räumung. Die Klägerin erwiderte zu Recht, dass die Beklagte seit der Kün- digung am 13. Juni 2017 genügend Zeit hatte, um eine Lösung zu finden und ein Aufschub nicht gerechtfertigt ist (act. 14 Rz. 5). Andere Gründe für die Annahme der Unverhältnismässigkeit der sofortigen Räumung macht die Beklagte nicht gel- tend und sind auch aus den Akten nicht ersichtlich. Die sofortige Räumung ist demnach antragsgemäss anzuordnen.</w:t>
      </w:r>
    </w:p>
    <w:p>
      <w:r>
        <w:t>- 5 -</w:t>
      </w:r>
    </w:p>
    <w:p>
      <w:r>
        <w:rPr>
          <w:b/>
        </w:rPr>
        <w:t>E. 6</w:t>
      </w:r>
    </w:p>
    <w:p>
      <w:r>
        <w:t>Vollstreckungsmassnahmen Über die Anordnung der Massnahmen entscheidet das Gericht nach seinem ei- genen Ermessen. Dabei hat es den Grundsatz der Verhältnismässigkeit zu be- achten (ZINSLI, in: SPÜHLER/TENCHIO/INFANGER [HRSG.], Basler Kommentar, Schweizerische Zivilprozessordnung, 2. Aufl., Basel 2013, Art. 343 N. 4). Die Klä- gerin beantragt, dass das Stadtammannamt anzuweisen sei, den Befehl nach Eintritt der Rechtskraft auf erstes Verlangen der Klägerin zu vollstrecken. In einem 2016 ergangenen Entscheid hat das Bundesgericht festgehalten, dass Leistungs- urteile des Handelsgerichts mit ihrer Ausfällung in Rechtskraft erwachsen. Freilich könne das Bundesgericht die Rechtskraft und die Vollstreckbarkeit eines kantona- len Leistungsurteils auf Gesuch hin aufschieben. Solange dies nicht geschehen sei, bleibe das kantonale Urteil rechtskräftig und vollstreckbar (BGE 142 III 738 E. 5.5.4). Demnach erwächst das vorliegende Urteil mit seiner Ausfällung in Rechts- kraft und die Klägerin kann umgehend die Vollstreckung beim Stadtammannamt verlangen. Gründe, die diese sofortige Vollstreckungsmöglichkeit unverhältnis- mässig erscheinen lassen würden, sind nicht ersichtlich.</w:t>
      </w:r>
    </w:p>
    <w:p>
      <w:r>
        <w:rPr>
          <w:b/>
        </w:rPr>
        <w:t>E. 7</w:t>
      </w:r>
    </w:p>
    <w:p>
      <w:r>
        <w:t>Kosten- und Entschädigungsfolgen Ausgangsgemäss wird die Beklagte kosten- und entschädigungspflichtig (Art. 106 Abs. 1 ZPO). Es ist von einem Streitwert von CHF 81'695.– auszugehen. Die von der Beklagten zu tragende Gerichtsgebühr ist auf CHF 4'000.– festzusetzen (§ 4 Abs. 1 und 2 i.V.m. § 8 Abs. 1 GebV OG). Die Beklagte ist ferner zu verpflichten, der Klägerin eine Parteientschädigung von CHF 5'600.– zzgl. MwSt (§ 4 Abs. 1, §</w:t>
      </w:r>
    </w:p>
    <w:p>
      <w:r>
        <w:rPr>
          <w:b/>
        </w:rPr>
        <w:t>E. 9</w:t>
      </w:r>
    </w:p>
    <w:p>
      <w:r>
        <w:t>und § 11 Abs. 1 AnwGebV) zu bezahlen (act. 1 Rz. 18).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