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HE170269 vom 10. Oktober 2017</w:t>
      </w:r>
    </w:p>
    <w:p>
      <w:r>
        <w:t>Zh Handelsgericht, 2017-10-10, DE</w:t>
      </w:r>
    </w:p>
    <w:p>
      <w:r>
        <w:rPr>
          <w:b/>
        </w:rPr>
        <w:t xml:space="preserve">Quelle: </w:t>
      </w:r>
      <w:r>
        <w:t>https://mcp.opencaselaw.ch/entscheid/zh_handelsgericht_HE170269</w:t>
      </w:r>
    </w:p>
    <w:p>
      <w:r>
        <w:t>FR: ZH_HANDELSGERICHT HE170269 du 10 octobre 2017</w:t>
      </w:r>
    </w:p>
    <w:p>
      <w:r>
        <w:t>IT: ZH_HANDELSGERICHT HE170269 del 10 ottobre 2017</w:t>
      </w:r>
    </w:p>
    <w:p>
      <w:pPr>
        <w:pStyle w:val="Heading2"/>
      </w:pPr>
      <w:r>
        <w:t>Erwägungen</w:t>
      </w:r>
    </w:p>
    <w:p>
      <w:r>
        <w:rPr>
          <w:b/>
        </w:rPr>
        <w:t>E. 6</w:t>
      </w:r>
    </w:p>
    <w:p>
      <w:r>
        <w:t>Rechtliche Würdigung</w:t>
      </w:r>
    </w:p>
    <w:p>
      <w:r>
        <w:rPr>
          <w:b/>
        </w:rPr>
        <w:t>E. 6.1</w:t>
      </w:r>
    </w:p>
    <w:p>
      <w:r>
        <w:t>Bei Zahlungsrückstand des Mieters kann ihm der Vermieter schriftlich eine Zahlungsfrist setzen und ihm androhen, dass bei unbenütztem Ablauf der Frist das Mietverhältnis gekündigt werde. Diese Frist beträgt bei Geschäftsräumen 30 Tage. Die Zahlungsfrist beginnt mit dem Zugang des Schreibens beim Mieter, bei Zustellung durch eingeschriebenen Brief mit dessen Behändigung am Postschal- ter bzw. nach Ablauf der siebentägigen Abholfrist (BGE 119 II 147 E. 4.2; relative Empfangstheorie). Die gemahnte Leistung des Mieters muss beim Ablauf der Zahlungsfrist weiterhin ganz oder teilweise ausstehen, d.h. ungetilgt sein. Die Frist ist gewahrt, wenn die Leistung vollumfänglich bis zum letzten Tag der Zah- lungsfrist durch den Mieter erbracht wird (KUKO OR – MAJA L. BLUMER, Art. 257d Rz. 7). Bezahlt der Mieter nicht fristgerecht, so kann der Vermieter fristlos, bei Geschäftsräumen mit einer Frist von mindestens 30 Tage, auf Ende eines Monats kündigen (Art. 257d OR). Für die Zustellung der Kündigung kommt die "uneinge- schränkte Empfangstheorie" zur Anwendung, wonach ein Einschreiben grund- sätzlich als zugestellt gilt, wenn es der Adressat mit der im Briefkasten vorgefun- denen Abholungseinladung erstmals bei der Poststelle abholen kann, d.h. i.d.R. am Tag nach dem Zugang der Abholungseinladung (BGE 137 III 208 E. 3). Nach beendetem Mietverhältnis muss der Mieter die Sache gemäss Art. 267 OR dem Vermieter zurückgeben. Zur Durchsetzung des Rückgabeanspruchs bei Wohn- und Geschäftsräumen kann der Vermieter die Ausweisung des Mieters beantra- gen (SVIT-Kommentar Mietrecht, 3. Aufl., N. 15 zu Art. 267-267a OR). Mit der Ausweisungsklage kann der Vermieter Vollstreckungsmassnahmen, d.h. einen Ausweisungsbefehl, verlangen (Art. 236 Abs. 3 ZPO und Art. 337 Abs. 1 ZPO).</w:t>
      </w:r>
    </w:p>
    <w:p>
      <w:r>
        <w:rPr>
          <w:b/>
        </w:rPr>
        <w:t>E. 6.2</w:t>
      </w:r>
    </w:p>
    <w:p>
      <w:r>
        <w:t>Die Klägerin hat die Voraussetzungen der Zahlungsverzugskündigung i.S.v. Art. 257d OR erfüllt, womit die Mietverhältnisse per 30. Juni 2017 beendet sind. Nach beendetem Mietverhältnis muss der Mieter die Sache gemäss Art. 267 OR dem Vermieter zurückgeben. Die Beklagte hat das Mietobjekt bis jetzt nicht geräumt. Sie hat damit ihre Rückgabepflicht verletzt. Der Fall ist liquid und damit ein Anspruch nach Art. 257 ZPO gegeben. Die Beklagte hält sich ohne Rechts- grund im Mietobjekt auf, weshalb der Ausweisungsbefehl zu erteilen ist.</w:t>
      </w:r>
    </w:p>
    <w:p>
      <w:r>
        <w:t>- 7 -</w:t>
      </w:r>
    </w:p>
    <w:p>
      <w:r>
        <w:rPr>
          <w:b/>
        </w:rPr>
        <w:t>E. 6.3</w:t>
      </w:r>
    </w:p>
    <w:p>
      <w:r>
        <w:t>Antragsgemäss ist der Beklagten zu befehlen, die von ihr genutzte Werk- statt (inkl. Cafeteria) im Erdgeschoss der Liegenschaft C._____-Strasse ..., Win- terthur) und die von ihr genutzten insgesamt neun Abstellplätze auf der Liegen- schaft C._____-Strasse ..., Winterthur, unverzüglich zu räumen und der Klägerin ordnungsgemäss und gereinigt zurückzugeben.</w:t>
      </w:r>
    </w:p>
    <w:p>
      <w:r>
        <w:rPr>
          <w:b/>
        </w:rPr>
        <w:t>E. 6.4</w:t>
      </w:r>
    </w:p>
    <w:p>
      <w:r>
        <w:t>Die Klägerin beantragt zudem Vollstreckungsmassnahmen. Die Klägerin verlangt, dass das zuständige Stattammannamt Oberwinterthur anzuweisen sei, den zu erlassenden Befehl nach "Eintritt der Rechtskraft" auf erstes Verlangen der Klägerin zu vollstrecken. Das Gericht darf einer Partei nicht mehr und nichts anderes zusprechen, als sie verlangt, und nicht weniger, als die Gegenpartei an- erkannt hat (Art. 58 Abs. 1 ZPO). Die Dispositionsmaxime verbietet dem urteilen- den Gericht allerdings nicht, den eigentlichen Sinn des Rechtsbegehrens durch Auslegung zu ermitteln und dessen Zulässigkeit danach und nicht nach dem un- zutreffenden Wortlaut zu beurteilen (SUTTER-SOMM/SEILER, in: Kommentar zur Schweizerischen Zivilprozessordnung, 3. Auflage, Zürich 2016, Art. 58 Rz. 10; Entscheid des Bundesgerichts vom 20. März 2013 [5A_621/2012] E. 4; auch BGE 140 III 159 E. 4.4). Die Frage, wann das vorliegende Urteil rechtskräftig wird, ist umstritten. In der Praxis steht denn in der Regel im Vordergrund, ob ein Entscheid sofort vollstreckt werden kann oder nicht. Es kann aber – wie das Begehren der Klägerin zeigt – auch die formelle Rechtskraft von Interesse sein. Das Bundesge- richt hat sich in Bezug auf die Berufung nach ZPO auf den Standpunkt gestellt, dass die formelle Rechtskraft des erstinstanzlichen Urteils nicht schon mit der Ausfällung bzw. Zustellung des erstinstanzlichen Entscheides eintrete (BGE 139 III E. 3 mit weiteren Hinweisen). In einem jüngst ergangenen Entscheid hat das Bundesgericht aber festgehalten, Urteile des Handelsgerichts würden – sofern es sich um Leistungsurteile handle – mit ihrer Ausfällung in Rechtskraft erwachsen. Freilich könne das Bundesgericht die Rechtskraft und die Vollstreckbarkeit eines kantonalen Leistungsurteils auf Gesuch hin aufschieben. Solange dies nicht ge- schehen sei, bleibe das kantonale Urteil rechtskräftig und vollstreckbar (BGE 142 III 738 E. 5.5.4). Die vorstehende Situation zeigt, dass ein Antrag mit fristauslö- sender Wirkung ab Rechtskraft des Entscheids zu schwierigen Abgrenzungsprob- lemen führen kann. Die Klägerin hat mit ihrem Rechtsbegehren wohl auch nicht</w:t>
      </w:r>
    </w:p>
    <w:p>
      <w:r>
        <w:t>- 8 - die Rechtskraft, sondern den unbenutzten Ablauf der Rechtsmittelfrist bzw. die Nichtgewährung der aufschiebenden Wirkung gemeint. Dementsprechend ist das Stadtammannamt Oberwinterthur anzuweisen, den Ausweisungsbefehl nach unbenutzten Ablauf der Rechtsmittelfrist bzw. der Nicht- gewährung der aufschiebenden Wirkung auf erstes Verlangen der Klägerin zu vollstrecken.</w:t>
      </w:r>
    </w:p>
    <w:p>
      <w:r>
        <w:rPr>
          <w:b/>
        </w:rPr>
        <w:t>E. 7</w:t>
      </w:r>
    </w:p>
    <w:p>
      <w:r>
        <w:t>Kosten- und Entschädigungsfolgen Ausgangsgemäss wird die Beklagte kosten- und entschädigungspflichtig (Art. 106 Abs. 1 ZPO). Es ist von einem Streitwert von CHF 20'471.40 auszugehen. Die von der Beklagten zu tragende Gerichtsgebühr ist auf CHF 2'000.– festzusetzen (§ 4 Abs. 1 und 2 i.V.m. § 8 Abs. 1 und § 10 Abs. GebV OG). Die Beklagte ist zu verpflichten, der Klägerin eine Parteientschädigung von CHF 2'600.– zu bezahlen (§ 4 Abs. 1 und 2 i.V.m. § 9 i.V.m. § 11 Abs. 1 AnwGebV). Die Parteientschädi- gung ist ohne Mehrwertsteuer zuzusprechen (BGer 4A_552/2015 E. 4.5).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