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HE170195 vom 11. Juli 2017</w:t>
      </w:r>
    </w:p>
    <w:p>
      <w:r>
        <w:t>Zh Handelsgericht, 2017-07-11, DE</w:t>
      </w:r>
    </w:p>
    <w:p>
      <w:r>
        <w:rPr>
          <w:b/>
        </w:rPr>
        <w:t xml:space="preserve">Quelle: </w:t>
      </w:r>
      <w:r>
        <w:t>https://mcp.opencaselaw.ch/entscheid/zh_handelsgericht_HE170195</w:t>
      </w:r>
    </w:p>
    <w:p>
      <w:r>
        <w:t>FR: ZH_HANDELSGERICHT HE170195 du 11 juillet 2017</w:t>
      </w:r>
    </w:p>
    <w:p>
      <w:r>
        <w:t>IT: ZH_HANDELSGERICHT HE170195 del 11 luglio 2017</w:t>
      </w:r>
    </w:p>
    <w:p>
      <w:pPr>
        <w:pStyle w:val="Heading2"/>
      </w:pPr>
      <w:r>
        <w:t>Erwägungen</w:t>
      </w:r>
    </w:p>
    <w:p>
      <w:r>
        <w:rPr>
          <w:b/>
        </w:rPr>
        <w:t>E. 2</w:t>
      </w:r>
    </w:p>
    <w:p>
      <w:r>
        <w:t>Das Grundbuchamt C._____ sei im Sinne einer superprovisori- schen Verfügung gestützt auf Art. 265 Abs. 1 ZPO anzuweisen, in Ziff. 1 das hiervor beantragte Bauhandwerkerpfandrecht sofort vorläufig im Grundbuch vorzumerken.</w:t>
      </w:r>
    </w:p>
    <w:p>
      <w:r>
        <w:rPr>
          <w:b/>
        </w:rPr>
        <w:t>E. 3</w:t>
      </w:r>
    </w:p>
    <w:p>
      <w:r>
        <w:t>Der Gesuchstellerin sei eine Frist von mindestens drei Monaten, gerechnet ab Rechtskraft des Entscheids betreffend vorläufige Vormerkung, anzusetzen und Klage auf definitive Eintragung des Bauhandwerkerpfandrechts gemäss Ziff. 1 hiervor zulasten des Grundstücks der Gesuchsgegnerin einzureichen.</w:t>
      </w:r>
    </w:p>
    <w:p>
      <w:r>
        <w:rPr>
          <w:b/>
        </w:rPr>
        <w:t>E. 4</w:t>
      </w:r>
    </w:p>
    <w:p>
      <w:r>
        <w:t>Wahrung der Eintragungsvoraussetzungen</w:t>
      </w:r>
    </w:p>
    <w:p>
      <w:r>
        <w:rPr>
          <w:b/>
        </w:rPr>
        <w:t>E. 4.1</w:t>
      </w:r>
    </w:p>
    <w:p>
      <w:r>
        <w:t>Die Eintragung eines Bauhandwerkerpfandrechts setzt voraus, dass ein Handwerker oder Unternehmer für Bauten auf einem Grundstück Arbeit und allen- falls Material geliefert hat (Art. 837 Abs. 1 Ziff. 3). Der Anspruch auf Errichtung ei- nes Bauhandwerkerpfandrechts richtet sich gegen den jeweiligen Eigentümer des Grundstückes (BGE 91 II 227; RAINER SCHUMACHER, Bauhandwerkerpfandrecht, 3. Aufl., Zürich 2008, N 299 ff. und 869 ff.). Die Eintragung ins Grundbuch hat bis spätestens vier Monate nach der Vollendung der Arbeiten zu geschehen (Art. 839 Abs. 2 ZGB). Geht es wie hier lediglich um die vorläufige Eintragung des Pfandrechtes, so muss die Gesuchstellerin ihr Begehren nur glaubhaft machen. Daran sind keine strengen Anforderungen zu stellen: Die vorläufige Eintragung darf nur dann ver- weigert werden, wenn der Bestand des Pfandrechts ausgeschlossen oder höchst</w:t>
      </w:r>
    </w:p>
    <w:p>
      <w:r>
        <w:t>- 4 - unsicher ist. Im Zweifelsfalle ist die vorläufige Eintragung zu bewilligen und die Entscheidung über Bestand und Umfang des Pfandrechtes dem ordentlichen Ge- richt vorzubehalten. Dies gilt namentlich bei unklarer oder unsicherer Rechtslage (BGE 86 I 270; BGE 102 Ia 86; ZR 79 Nr. 80 E. 1; SCHUMACHER, a.a.O., N 1394 ff.).</w:t>
      </w:r>
    </w:p>
    <w:p>
      <w:r>
        <w:rPr>
          <w:b/>
        </w:rPr>
        <w:t>E. 4.2</w:t>
      </w:r>
    </w:p>
    <w:p>
      <w:r>
        <w:t>Die Gesuchstellerin macht geltend, sie habe auf dem Grundstück der Ge- suchsgegnerin pfandberechtigte Arbeiten ausgeführt. Dies erscheint glaubhaft, zumal die Gesuchstellerin die Auftragsbestätigungen, die Rechnungen auf wel- chen die jeweiligen Ausführungsdaten erfasst sind und eine Liste mit Inbetrieb- nahmedaten ins Recht legt (act. 1 Rz. 6 ff.; act. 3/7-15). Die geforderte Pfand- summe ergibt sich sodann aus den Auftragsbestätigungen und den gestellten Rechnungen (act. 1 Rz. 9 ff.; act. 3/7-14). Diese entsprechen dem vereinbarten Werklohn, womit auch glaubhaft erscheint, dass dieser Betrag den Leistungen entspricht und geschuldet ist. Der geltend gemachte Zinsenlauf ergibt sich eben- falls aus den Rechnungen (act. 3/11-14). Sodann macht die Gesuchstellerin gel- tend, dass die Inbetriebnahme der Klimageräte als letzte relevante Arbeit gelte. Bei dieser werde die Software für die Steuerung des Geräts programmiert und den örtlichen Begebenheiten angepasst. Diese Arbeiten seien noch nicht voll- ständig erfolgt. Die letzten Montagearbeiten hätten am 14. Februar 2017 stattge- funden (act. 1 Rz. 10 und 18). Da die superprovisorische Eintragung am 14. Juni 2017 erfolgt ist (act. 10) und damit die viermonatige Eintragungsfrist auch hin- sichtlich der Montagearbeiten gewahrt ist, kann offen gelassen werden, ob die In- betriebnahme der Klimageräte eine relevante Arbeit darstellt. Die Gesuchsgegnerin bestreitet den Anspruch der Gesuchstellerin auf Ein- tragung eines Bauhandwerkerpfandrechts lediglich pauschal und macht insbe- sondere keine konkreten Vorbringen zu den einzelnen Voraussetzungen (act. 12 S. 2). Damit kann sie die Sachdarstellung der Gesuchstellerin nicht entkräften.</w:t>
      </w:r>
    </w:p>
    <w:p>
      <w:r>
        <w:rPr>
          <w:b/>
        </w:rPr>
        <w:t>E. 4.3</w:t>
      </w:r>
    </w:p>
    <w:p>
      <w:r>
        <w:t>Da die Eintragungsvoraussetzungen glaubhaft gemacht wurden, hat die Gesuchstellerin einen Anspruch auf Eintragung des Bauhandwerkerpfandrechts im begehrten Umfang.</w:t>
      </w:r>
    </w:p>
    <w:p>
      <w:r>
        <w:t>- 5 -</w:t>
      </w:r>
    </w:p>
    <w:p>
      <w:r>
        <w:rPr>
          <w:b/>
        </w:rPr>
        <w:t>E. 5</w:t>
      </w:r>
    </w:p>
    <w:p>
      <w:r>
        <w:t>Prosequierung Sodann ist der Gesuchstellerin Frist anzusetzen, um Klage auf definitive Ein- tragung des Pfandrechts gegen die Gesuchsgegnerin anzuheben. Die Prosequie- rungsfrist ist praxisgemäss auf 60 Tage festzulegen, wobei allfällige Gerichtsferi- en bei der Fristansetzung berücksichtigt werden.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6</w:t>
      </w:r>
    </w:p>
    <w:p>
      <w:r>
        <w:t>Schriftliche Mitteilung an die Parteien, an die Gesuchstellerin unter Beilage des Doppels von act. 12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114'013.80. Die gesetzlichen Fristenstillstände gelten nicht (Art. 46 Abs. 2 BGG). Zürich, 11. Juli 2017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