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HE170111 vom 24. Juli 2017</w:t>
      </w:r>
    </w:p>
    <w:p>
      <w:r>
        <w:t>Zh Handelsgericht, 2017-07-24, DE</w:t>
      </w:r>
    </w:p>
    <w:p>
      <w:r>
        <w:rPr>
          <w:b/>
        </w:rPr>
        <w:t xml:space="preserve">Quelle: </w:t>
      </w:r>
      <w:r>
        <w:t>https://mcp.opencaselaw.ch/entscheid/zh_handelsgericht_HE170111</w:t>
      </w:r>
    </w:p>
    <w:p>
      <w:r>
        <w:t>FR: ZH_HANDELSGERICHT HE170111 du 24 juillet 2017</w:t>
      </w:r>
    </w:p>
    <w:p>
      <w:r>
        <w:t>IT: ZH_HANDELSGERICHT HE170111 del 24 luglio 2017</w:t>
      </w:r>
    </w:p>
    <w:p>
      <w:pPr>
        <w:pStyle w:val="Heading2"/>
      </w:pPr>
      <w:r>
        <w:t>Erwägungen</w:t>
      </w:r>
    </w:p>
    <w:p>
      <w:r>
        <w:rPr>
          <w:b/>
        </w:rPr>
        <w:t>E. 2</w:t>
      </w:r>
    </w:p>
    <w:p>
      <w:r>
        <w:t>Unter Kosten- und Entschädigungsfolgen zuzüglich Mehrwertsteuer zu Lasten der Gesuchsgegnerin." Der Einzelrichter zieht in Erwägung: 1. Wesentliches des unstrittigen Sachverhaltes 1.1 Die Klägerin (= Gesuchstellerin) war bis zum Jahre 2009 Angestellte der Be- klagten (= Gesuchsgegnerin), welche damals noch einen Bankbetrieb führte. 1.2 Im Jahre 2005 brannte es in den Räumlichkeiten einer Filiale der Beklagten in C._____ (act. 11/10, act. 15/1). Die Klägerin will dadurch gesundheitliche Beein- trächtigungen davongetragen haben. Das führte zu Weiterungen. Die Unfallversi- chererin sprach der Klägerin am 10. Februar 2017 eine kleine Entschädigung zu (act. 3/5). Dagegen erhob die Klägerin Einsprache (act. 3/6). Als die Klägerin im September 2010 von der Beklagten unter Hinweis auf Art. 60 OR eine Erklärung betreffend Verzicht auf die Einrede der Verjährung erbat (act. 3/7), weigerte sich die Beklagte und wurde daraufhin in Höhe von CHF 3 Mio. nebst Zins zu 5% seit 30. Juni 2005 betrieben (act. 3/8; act. 3/9, act. 3/10). Offenbar hatte sich die Klä- gerin auch um eine Invalidenrente bemüht (act. 3/5 S. 2, letzter Absatz). Seit Mai 2016 läuft zwischen den Parteien ein Zivilprozess in Genf. Die hiesige Beklagte trägt dort auf die Feststellung an, dass die seitens der Klägerin erhobene Forde- rung von CHF 3 Mio. aus dem erwähnten Brand unbegründet sei. 1.3 Am 20. Dezember 2016 beschloss die Beklagte ihre Auflösung. Sie befindet sich seither im Stadium der Liquidation (Art. 738 OR). Die Schuldenrufe erfolgten am 17. - 19. Januar 2017 (act. 3/14 - act. 3/16). Damit verbunden war jeweils die</w:t>
      </w:r>
    </w:p>
    <w:p>
      <w:r>
        <w:t>- 3 - Mitteilung, es sei eine vorzeitige Löschung der Gesellschaft gemäss Art. 745 Abs.</w:t>
      </w:r>
    </w:p>
    <w:p>
      <w:r>
        <w:rPr>
          <w:b/>
        </w:rPr>
        <w:t>E. 2.1</w:t>
      </w:r>
    </w:p>
    <w:p>
      <w:r>
        <w:t>Das Massnahmebegehren wurde am Grünndonnerstag, den 13. April 2017, 13'55 Uhr, überbracht (act. 1).</w:t>
      </w:r>
    </w:p>
    <w:p>
      <w:r>
        <w:rPr>
          <w:b/>
        </w:rPr>
        <w:t>E. 2.2</w:t>
      </w:r>
    </w:p>
    <w:p>
      <w:r>
        <w:t>Mit Verfügung vom selben Tag, welche wegen der zeitlichen Beschränkung an Ostern erst am 18. April 2017 versandt werden konnte, wurde der Beklagten superprovisorisch verboten, ihr Vermögen zu verteilen, solange sie die Forderung der Klägerin über CHF 3 Mio. zuzüglich Zins von 5% seit dem 30. Juni 2005 nicht hinterlegt oder der Klägerin eine gleichwertige Sicherheit bestellt hat (act. 4). So- dann wurden Fristen zur Leistung des Kostenvorschusses (Klägerin) und zur Be- antwortung des Massnahmebegehrens (Beklagte) angesetzt, die Letztere ver- bunden mit dem Hinweis auf den grundsätzlich bloss einmaligen Parteivortrag im summarischen Verfahren.</w:t>
      </w:r>
    </w:p>
    <w:p>
      <w:r>
        <w:rPr>
          <w:b/>
        </w:rPr>
        <w:t>E. 2.3</w:t>
      </w:r>
    </w:p>
    <w:p>
      <w:r>
        <w:t>Mit klägerischer Noveneingabe vom 18. April 2017 wurde das oben unter Ziff. 1.5 erwähnte Schreiben der Beklagten vom 13. April 2017 eingereicht (act. 6, act. 7/28).</w:t>
      </w:r>
    </w:p>
    <w:p>
      <w:r>
        <w:rPr>
          <w:b/>
        </w:rPr>
        <w:t>E. 2.4</w:t>
      </w:r>
    </w:p>
    <w:p>
      <w:r>
        <w:t>Die Massnahmeantwort datiert vom 9. Mai 2017 (act. 10). Die Beklagte trug auf Abweisung des klägerischen Begehrens an, eventualiter beantragte sie, die Kapitalherabsetzung sei auszuklammern und es sei die Hinterlegung bzw. Sicher- stellung auf CHF 50'000 zu begrenzen. In prozessualer Hinsicht ersuchte die Be- klagte um superprovisorische Ausklammerung der Kapitalherabsetzung, eventua- liter sei die Klägerin anzuhalten, für die Geltungsdauer der vorsorglichen Anord- nung eine Sicherheit von monatlich CHF 37'759 zu leisten, mindestens gesamt- haft CHF 450'000.</w:t>
      </w:r>
    </w:p>
    <w:p>
      <w:r>
        <w:rPr>
          <w:b/>
        </w:rPr>
        <w:t>E. 2.5</w:t>
      </w:r>
    </w:p>
    <w:p>
      <w:r>
        <w:t>Mit Verfügung vom 11. Mai 2017 wurde das Dringlichkeitsbegehren der Be- klagten abgewiesen (act. 12).</w:t>
      </w:r>
    </w:p>
    <w:p>
      <w:r>
        <w:t>- 5 -</w:t>
      </w:r>
    </w:p>
    <w:p>
      <w:r>
        <w:rPr>
          <w:b/>
        </w:rPr>
        <w:t>E. 2.6</w:t>
      </w:r>
    </w:p>
    <w:p>
      <w:r>
        <w:t>Am 6. Juni 2017 machte die Klägerin von ihrem "Replikrecht" Gebrauch (act. 14).</w:t>
      </w:r>
    </w:p>
    <w:p>
      <w:r>
        <w:rPr>
          <w:b/>
        </w:rPr>
        <w:t>E. 2.7</w:t>
      </w:r>
    </w:p>
    <w:p>
      <w:r>
        <w:t>Für ihre Eingabe vom gleichen Tag berief sich die Beklagte ebenfalls auf ein "Replikrecht" und führte Noven ins Verfahren ein (act. 16).</w:t>
      </w:r>
    </w:p>
    <w:p>
      <w:r>
        <w:rPr>
          <w:b/>
        </w:rPr>
        <w:t>E. 2.8</w:t>
      </w:r>
    </w:p>
    <w:p>
      <w:r>
        <w:t>Die Klägerin nahm zu act. 16 am 16. Juni 2017 Stellung (act. 20).</w:t>
      </w:r>
    </w:p>
    <w:p>
      <w:r>
        <w:rPr>
          <w:b/>
        </w:rPr>
        <w:t>E. 2.9</w:t>
      </w:r>
    </w:p>
    <w:p>
      <w:r>
        <w:t>Die Beklagte nahm zu act. 20 am 22. Juni 2017 Stellung (act. 23).</w:t>
      </w:r>
    </w:p>
    <w:p>
      <w:r>
        <w:rPr>
          <w:b/>
        </w:rPr>
        <w:t>E. 3</w:t>
      </w:r>
    </w:p>
    <w:p>
      <w:r>
        <w:t>Zusammenfassung der wesentlichen Parteistandpunkte</w:t>
      </w:r>
    </w:p>
    <w:p>
      <w:r>
        <w:rPr>
          <w:b/>
        </w:rPr>
        <w:t>E. 3.1</w:t>
      </w:r>
    </w:p>
    <w:p>
      <w:r>
        <w:t>Es geht nur um eine summarische Auflistung. Auf einzelne Punkte wird zu- sätzlich bei der Würdigung eingegangen.</w:t>
      </w:r>
    </w:p>
    <w:p>
      <w:r>
        <w:rPr>
          <w:b/>
        </w:rPr>
        <w:t>E. 3.2</w:t>
      </w:r>
    </w:p>
    <w:p>
      <w:r>
        <w:t>Die Klägerin geht davon aus, das Gesetz schütze sie vor einem ganzen oder teilweisen Liquiditätsabfluss bei der Beklagten. Da sie [vorbehältlich Klageantwort vom 15. Mai 2017 zur Feststellungsklage; act. 17/3] einen - im Einzelnen noch nicht bezifferten bzw. eingeklagten - Anspruch aus dem Brandfall habe (Perso- nenschaden), sei die Einbringlichkeit stark gefährdet oder gar ausgeschlossen, falls die Beklagte ihre angekündigten Vorhaben verwirklichen könne. Das einzige zielführende Mittel zur Interessenswahrung sei die Anordnung der beantragten vorsorglichen Massnahme.</w:t>
      </w:r>
    </w:p>
    <w:p>
      <w:r>
        <w:rPr>
          <w:b/>
        </w:rPr>
        <w:t>E. 3.3</w:t>
      </w:r>
    </w:p>
    <w:p>
      <w:r>
        <w:t>Das Bestreitungsfundament der Beklagten setzt sich aus verschiedenen As- pekten zusammen.</w:t>
      </w:r>
    </w:p>
    <w:p>
      <w:r>
        <w:rPr>
          <w:b/>
        </w:rPr>
        <w:t>E. 3.3.1</w:t>
      </w:r>
    </w:p>
    <w:p>
      <w:r>
        <w:t>Zunächst wird ins Feld geführt, die Klägerin sei durch den Brand in ihrer Gesundheit nicht beeinträchtigt worden, auch nicht bezüglich ihrer Arbeitskraft.</w:t>
      </w:r>
    </w:p>
    <w:p>
      <w:r>
        <w:rPr>
          <w:b/>
        </w:rPr>
        <w:t>E. 3.3.2</w:t>
      </w:r>
    </w:p>
    <w:p>
      <w:r>
        <w:t>Nachdem seitens der Klägerin deren angeblichen Ansprüche jahrelang nicht (genügend) beziffert worden seien, habe die Beklagte am 10. November 2015 in Genf das Schlichtungsgesuch gestellt und anschliessend am 4. Mai 2016 die Feststellungsklage eingereicht (act. 11/15; act. 3/11). In der Klageantwort vom 15. Mai 2017 im Genfer Verfahren (act. 17/3) sei seitens der Klägerin eine "Wahnfor- derung" behauptet worden. Eine auch nur ansatzweise Substantiierung fehle bis</w:t>
      </w:r>
    </w:p>
    <w:p>
      <w:r>
        <w:t>- 6 - heute. Das Verhalten der Klägerin sei rechtsmissbräuchlich, weshalb sie sich auch von daher nicht auf Art. 744 Abs. 2 OR berufen könne.</w:t>
      </w:r>
    </w:p>
    <w:p>
      <w:r>
        <w:rPr>
          <w:b/>
        </w:rPr>
        <w:t>E. 3.3.3</w:t>
      </w:r>
    </w:p>
    <w:p>
      <w:r>
        <w:t>Die Beklagte plane nicht, ihr sämtliches Vermögen vorzeitig im Sinne von Art. 745 Abs. 3 OR zu verteilen. Sie habe schon bei der Stellung des Schlich- tungsgesuches am 10. November 2015 darauf hingewiesen, dass die behaupte- ten klägerischen Ansprüche die Liquidierung der Beklagten verhindern würden (act. 11/15 Rz. 39). Der (freiwillig erfolgte) Hinweis bei den Schuldenrufen (act. 3/14 - 16) auf die vorzeitige Löschung sei so zu verstehen gewesen, dass diese dann Platz greife, sofern die gesetzlichen Voraussetzungen erfüllt seien. Eine vollständige Verteilung vor (definitiver) Klärung der klägerischen Ansprüche sei nie beabsichtigt gewesen.</w:t>
      </w:r>
    </w:p>
    <w:p>
      <w:r>
        <w:rPr>
          <w:b/>
        </w:rPr>
        <w:t>E. 3.3.4</w:t>
      </w:r>
    </w:p>
    <w:p>
      <w:r>
        <w:t>Aus der Kapitalherabsetzung drohe der Klägerin kein Nachteil. Hingegen sei sie für die Beklagte wichtig, weil dadurch rund CHF 45 Mio. zur Verteilung an die Aktionäre frei würden und man so die Belastung durch Negativzinsen vermeiden könne. Sie verursache einen monatlichen Schaden von CHF 37'759 (act. 11/20, act. 11/21). Sodann nimmt die Beklagte gestützt auf Lehrmeinungen den Stand- punkt ein, die Pflicht nach Art. 734 OR beziehe sich nicht auf ausservertragliche Ansprüche, sie setze das Glaubhaftmachung einer Gefährdung der Forderung vo- raus und dürfe jedenfalls nur im Umfang der Differenztheorie verlangt werden.</w:t>
      </w:r>
    </w:p>
    <w:p>
      <w:r>
        <w:rPr>
          <w:b/>
        </w:rPr>
        <w:t>E. 3.3.5</w:t>
      </w:r>
    </w:p>
    <w:p>
      <w:r>
        <w:t>Die Beklage hält auch dafür, die anbegehrte Massnahme halte vor dem Verhältnismässigkeitsprinzip nicht Stand. Die Unfallversichererin habe der Kläge- rin ex aequo et bono eine Integritätsentschädigung von CHF 32'040 zugespro- chen. Angesichts der völlig im Dunkeln liegenden Schadenspositionen sei höchs- tens eine Hinterlegung bzw. Sicherstellung im Umfange von CHF 50'000 ange- messen.</w:t>
      </w:r>
    </w:p>
    <w:p>
      <w:r>
        <w:rPr>
          <w:b/>
        </w:rPr>
        <w:t>E. 3.3.6</w:t>
      </w:r>
    </w:p>
    <w:p>
      <w:r>
        <w:t>Schliesslich macht die Beklagte geltend, sie habe in einem E-Mail an die Klägerin vom 4. Juni 2017 (act. 15/8) klargestellt, dass ohne Hinterlegung oder Sicherstellung keine Liquidation stattfinden werde. Sie teilte der Klägerin damals sodann mit, man habe in Zusammenhang mit der klägerischen Forderung eine Rückstellung über CHF 5 Mio. gebildet, welche bis zur Klärung des Rechtsstreites</w:t>
      </w:r>
    </w:p>
    <w:p>
      <w:r>
        <w:t>- 7 - nicht angetastet werde. Ferner wurde vorgeschlagen, dass die … [des Staates D._____] Mutter der Beklagten eine Garantie bis zum Betrag von CHF 5 Mio. ausstelle oder die Schuld übernehme.</w:t>
      </w:r>
    </w:p>
    <w:p>
      <w:r>
        <w:rPr>
          <w:b/>
        </w:rPr>
        <w:t>E. 4</w:t>
      </w:r>
    </w:p>
    <w:p>
      <w:r>
        <w:t>Würdigung</w:t>
      </w:r>
    </w:p>
    <w:p>
      <w:r>
        <w:rPr>
          <w:b/>
        </w:rPr>
        <w:t>E. 4.1</w:t>
      </w:r>
    </w:p>
    <w:p>
      <w:r>
        <w:t>Die vorliegend wesentlichen Bestimmungen von Art. 744 Abs. 2 OR (Liquida- tionsverfahren) und Art. 733 OR (Verfahren bei Herabsetzung) weisen Ähnlichkei- ten auf, ist doch in beiden von Sicherstellung die Rede und dienen sie dem Gläu- bigerschutz. Beiden ist auch eigen, dass es für die hier interessierenden strittigen Fragen keine höchstrichterliche Rechtsprechung und eine teilweise magere, teil- weise divergierende Lehre gibt. Das klägerische Massnahmebegehren stützte sich auf die Bestimmungen zur Liquidation, kann aber auch auf die beschlossene Kapitalherabsetzung gelesen werden, da die Beklagte beabsichtigt, im Rahmen der Herabsetzung Aktiven an die Aktionäre bzw. im Wesentlichen an ihre … [des Staates D._____] Mutter zu verteilen. Es rechtfertigt sich aber, die beiden An- spruchsgrundlagen getrennt zu behandeln.</w:t>
      </w:r>
    </w:p>
    <w:p>
      <w:r>
        <w:rPr>
          <w:b/>
        </w:rPr>
        <w:t>E. 4.2</w:t>
      </w:r>
    </w:p>
    <w:p>
      <w:r>
        <w:t>Der Wortlaut von Art. 744 Abs. 2 OR gibt der zu liquidierenden Gesellschaft bei "streitigen Verbindlichkeiten" drei Verhaltensvarianten: Hinterlegung, gleich- wertige Sicherheit, Aussetzung der Verteilung des Gesellschaftsvermögens. Es darf ein gesetzlicher Anspruch der Gläubigerschaft angenommen werden, dass die Aktiengesellschaft in Liquidation eine dieser Varianten wählt und dies auch klar kommuniziert.</w:t>
      </w:r>
    </w:p>
    <w:p>
      <w:r>
        <w:rPr>
          <w:b/>
        </w:rPr>
        <w:t>E. 4.3</w:t>
      </w:r>
    </w:p>
    <w:p>
      <w:r>
        <w:t>Anspruchsvoraussetzung ist bei allen Varianten eine "streitige Verbindlich- keit". Dass zwischen den Parteien ein Anspruch aus Deckung eines Personen- schadens strittig ist, kann nicht ernsthaft in Frage gestellt werden. Zu prüfen ist al- lerdings, ob der geltend gemachte Anspruch ein gewisses (Mindest-) Beweismass erfüllen muss, wobei in erster Linie an das Glaubhaftmachen zu denken ist. Das Gesetz nennt kein Beweismass. In Art. 742 Abs. 2 OR ist lediglich von anzumel- denden Ansprüchen die Rede. Sodann können die Folgen gravierend sein, wenn ein Anspruch zur Zeit nicht glaubhaft gemacht werden kann, er sich später aber als ausgewiesen zeigt. Ist die Liquidation dannzumal beendet, geht die Gläubi-</w:t>
      </w:r>
    </w:p>
    <w:p>
      <w:r>
        <w:t>- 8 - gerschaft leer aus. Von daher darf wohl kein Glaubhaftmachen verlangt werden. Andererseits ist dem Missbrauch kein Vorschub zu leisten. Das blosse Behaupten eines Anspruches, selbst wenn es ein Behauptungsgebäude ist, darf nicht genü- gen. Die Lösung liegt darin, ein schlüssiges Behaupten zu verlangen (zum Begriff vgl. BGer 5A_658/2014 E. 6.3.1; BGer 4A_646/2016 E 3.4). Allerdings steht die Bejahung oder Verneinung der Schlüssigkeit in einer Beziehung zur Anspruchs- grundlage, was eine Einzelfallprüfung bedeutet. Wer beispielsweise behauptet, er habe vor Jahr und Tag ein Darlehen in Millionenhöhe ohne schriftliche Festhal- tung gegeben, an dessen Vorbringen sind relativ hohe Anforderungen hinsichtlich der Schlüssigkeit zu stellen. Bei den Personenschäden, die (wie vorliegend) im weiteren Sinn mit einem Unfalltrauma begründet werden, ist es schwieriger. Für juristisch gebildete Zeitgenossen und -genossinnen darf als notorisch gelten, dass die Begründung und die Abklärung solcher Ansprüche oftmals aufwendig und langwierig ist, insbesondere, weil man es meistens mit diffusen Beschwerdebil- dern zu tun hat, welche sich über einen längeren Zeitraum verändern können, und zu deren Abklärung die zur Entscheidung aufgerufenen Behörden des gutachterli- chen Beistandes bedürfen. Ist eine Beeinträchtigung in einem bestimmten Um- fang erstellt, folgen weitere schwierige Abklärungen, wobei hier nur auf die Stich- worte "Haushaltsschaden" und "Erschwerung des beruflichen Fortkommens" hin- zuweisen ist. Vor diesem Hintergrund erscheint die Behauptung der Beklagten, welche sie nach Konsultation der Klageantwort im Genfer Verfahren erhob, wo- nach man es mit einer "Wahnforderung" zu tun habe, übertrieben. In der 50- seitigen Rechtsschrift (act. 17/3) stellte die hiesige Klägerin diverse Behauptun- gen zu ihrem Gesundheitszustand und zum Quantitativ auf und offerierte Bewei- se. Die Entgegnungen der hiesigen Beklagten im hiesigen Verfahren (act. 16 Rz.</w:t>
      </w:r>
    </w:p>
    <w:p>
      <w:r>
        <w:rPr>
          <w:b/>
        </w:rPr>
        <w:t>E. 4.4</w:t>
      </w:r>
    </w:p>
    <w:p>
      <w:r>
        <w:t>Die Beklagte war und ist zu einer gerichtlichen Hinterlegung im Sinne von Art. 744 OR nicht bereit.</w:t>
      </w:r>
    </w:p>
    <w:p>
      <w:r>
        <w:rPr>
          <w:b/>
        </w:rPr>
        <w:t>E. 4.5</w:t>
      </w:r>
    </w:p>
    <w:p>
      <w:r>
        <w:t>Verlaufs dieses Verfahrens schrieb die Beklagte das erwähnte Mail vom 4. Juni 2017 (act. 15/8). Es ist zu prüfen, ob die Rückstellung von CHF 5 Mio. und/oder das Offerieren einer Bankgarantie durch eine … [des Staates D._____] Bank und/oder das Angebot der Schuldübernahme durch Letztere das Kriterium der "gleichwertigen Sicherheit" erfüllen bzw. dazu geeignet sind. Nachdem eine gerichtliche Hinterlegung zu einer mehr oder weniger hundertprozentigen Sicher- heit führt, müssen die Anforderungen an die "gleichwertige Sicherheit" hoch sein. Es besteht eine gewisse Analogie zur "hinreichenden Sicherheit" beim Bauhand- werkerpfandrecht (Art. 839 Abs. 3 ZGB). Diesbezüglich hat das Bundesgericht in BGE 142 III 738 entschieden, es müsse "qualitativ und quantitativ die gleiche De- ckung" geboten werden (E. 4.4.3). Eine Rückstellung sichert gewissermassen buchhalterisch, jedoch steht damit kein Betrag mit Sicherheit für die Deckung ei- nes zugesprochenen Betrages zur Verfügung. Garantieererklärungen oder Schuldübernahmen durch ausländische Gesellschaften können zu grossen Schwierigkeiten bei der Vollstreckung führen. Somit hat die Beklagte selbst unter dem Eindruck des vorliegenden Verfahrens keine gleichwertige Sicherheit gestellt oder angeboten.</w:t>
      </w:r>
    </w:p>
    <w:p>
      <w:r>
        <w:rPr>
          <w:b/>
        </w:rPr>
        <w:t>E. 4.6</w:t>
      </w:r>
    </w:p>
    <w:p>
      <w:r>
        <w:t>Was nun die Aussetzung der Verteilung des Vermögens anbelangt, so wurden die Argumente der Beklagten gehört, sie werden aber nicht erhört. Den Erklärun- gen im Prozess kann durchaus Glaubwürdigkeit bescheinigt werden, weshalb die Beklagten darauf zu behaften sein wird. Schwer wiegt aber die Mitteilung im Schuldenruf, wonach eine vorzeitige Verteilung bzw. Löschung beabsichtigt sei (act. 3/14 - 16) und schwer wiegt auch die abweisende Haltung bis zur Einleitung dieses Verfahrens, was nicht alle Zweifel an den Zusicherungen der Beklagten entfallen lässt. Von daher ist ein Anspruch im Sinne des gestellten Begehrens zu bejahen, wobei der drohende Nachteil (möglicher Entfall des Haftungssubstrates)</w:t>
      </w:r>
    </w:p>
    <w:p>
      <w:r>
        <w:t>- 10 - auf der Hand liegt. Nach den Zusicherungen der Beklagte ist auch die Verhält- nismässigkeit evident.</w:t>
      </w:r>
    </w:p>
    <w:p>
      <w:r>
        <w:rPr>
          <w:b/>
        </w:rPr>
        <w:t>E. 4.7</w:t>
      </w:r>
    </w:p>
    <w:p>
      <w:r>
        <w:t>Beim Anspruch auf Sicherstellung im Rahmen der Kapitalherabsetzung liegen die Dinge komplizierter. Soweit klare Lehrmeinungen existieren, tendieren sie da- zu, die "Sicherstellung" von "Forderungen" restriktiv bis sehr restriktiv zu verste- hen. Forstmoser, Meier - Hayoz und Nobel plädieren in ihrem "Aktienrecht" aus dem Jahre 1996 dafür, ein Anspruch stehe nur Gläubigern zu, welche der Gesell- schaft im Hinblick auf die bisherige Vermögensbasis Kredit gewährt hätten (§ 53 N. 162). Als Grund geben sie die Ratio des Schutzzweckes an, wobei weder der Schutzzweck noch die Ratio weiter dargelegt werden. In seiner Fribourger Disser- tation aus dem Jahre 2004 (Die Herabsetzung des Aktienkapitals) setzt Michel Heinzmann für die Sicherstellungspflicht eine "gewisse Glaubwürdigkeit" der For- derung voraus (N. 325), wobei darunter eine Schuldanerkennung nach den Re- geln des SchKG zu verstehen sei (N. 326). Peter Böckli stellte in der 4. Auflage seines Aktienrechtsbuches aus dem Jahre 2009 den Grundsatz auf, ein Anspruch auf Sicherstellung könne nur bestehen, wenn eine Gefährdung [der Einbringlich- keit] zufolge der Kapitalherabsetzung offensichtlich sei oder mindestens glaubhaft gemacht werde (N. 352). Sodann stellte er in den Raum, dass die Bestätigung des Revisionsexperten nach Art. 732 Abs. 2 OR das Rechtsschutzinteresse an der Sicherstellung entfallen lassen könne (N 352a). Martin Müller schloss sich dem erstgenannten Werk an und schloss daraus, dass Gläubiger von ausserver- traglichen Ansprüchen nicht berechtigt seien, eine Sicherstellung zu verlangen (in AJP 2011 S. 531).</w:t>
      </w:r>
    </w:p>
    <w:p>
      <w:r>
        <w:rPr>
          <w:b/>
        </w:rPr>
        <w:t>E. 4.8</w:t>
      </w:r>
    </w:p>
    <w:p>
      <w:r>
        <w:t>Bei den Akten liegt ein "Independent auditor's Report", welcher durch die Re- visionsstelle der Beklagten erstellt wurde (act. 15/9). Darin wird unter Hinweis auf Art. 732 Abs. 2 OR bestätigt, dass die Ansprüche der Gläubiger auch nach der Kapitalreduktion voll gedeckt seien. Gemäss einer beigehefteten Aufstellung wa- ren für langfristige Verbindlichkeiten Rückstellungen von über CHF 18 Mio. einge- setzt. Aus einem weiteren Dokument geht hervor, dass ein Rückstellungsbetrag von CHF 5 Mio. die klägerische Forderung betrifft (act. 17/2). Diese Umstände sind nicht strittig, in jedem Fall aber glaubhaft gemacht. Die Summe von CHF 5</w:t>
      </w:r>
    </w:p>
    <w:p>
      <w:r>
        <w:t>- 11 - Mio. entspricht zwar nicht dem Betrag, für welchen sich die Klägerin eine Sicher- stellung vorstellt (CHF 6 Mio.). Allerdings unterliegt der höhere Betrag insofern ei- nem Rechnungsfehler, als bei Personenschäden die einzelnen Schäden erst nach und nach eintreten, weshalb der Zins nicht auf dem Maximalbetrag zu berechnen ist. Ginge man von einer mittleren Zinsdauer aus, so wäre nur für die Hälfte der angenommenen Zeit Zins geschuldet, was einen solchen von CHF 1,5 Mio. ergä- be. Selbstredend kann die konkrete Berechnung ein anderes Bild ergeben. Der Betrag von CHF 5 Mio. ist aber als genügende Sicherheit bzw. als genügende Rückstellung zu betrachten. Bei dieser Sachlage kann tatsächlich das Rechts- schutzinteresse der Klägerin an der Sicherstellung im Sinne von Art. 734 OR ver- neint werden. Aufgrund der gleichen Sachlage ist auch der relevante Nachteil zu verneinen. So oder anders bietet Art. 734 OR keine Grundlage für die Anordnung vorsorglicher Massnahmen. Das Ausgeführte korrespondiert mit der Regelung in Art. 25 FusG und Art. 46 FusG, welche Bestimmungen eine ähnliche Konstellation betreffen.</w:t>
      </w:r>
    </w:p>
    <w:p>
      <w:r>
        <w:rPr>
          <w:b/>
        </w:rPr>
        <w:t>E. 4.9</w:t>
      </w:r>
    </w:p>
    <w:p>
      <w:r>
        <w:t>Aus dem Vorstehenden sind folgende Schlüsse zu ziehen:</w:t>
      </w:r>
    </w:p>
    <w:p>
      <w:r>
        <w:rPr>
          <w:b/>
        </w:rPr>
        <w:t>E. 4.9.1</w:t>
      </w:r>
    </w:p>
    <w:p>
      <w:r>
        <w:t>Das Massnahmebegehren ist gutzuheissen (Art. 261 f. ZPO). Ergänzend ist beizufügen, dass der Betrag einer Sicherstellung oder Hinterlegung unter Ein- schluss von Zins geschätzten CHF 5'000'000 entsprechen würde.</w:t>
      </w:r>
    </w:p>
    <w:p>
      <w:r>
        <w:rPr>
          <w:b/>
        </w:rPr>
        <w:t>E. 4.9.2</w:t>
      </w:r>
    </w:p>
    <w:p>
      <w:r>
        <w:t>Da die Beklagte erklärt hat, sie verzichte auf die Verteilung nach Art. 745 OR, solange über den geltend gemachten Anspruch der Klägerin nicht rechtskräf- tig entschieden worden sei, macht eine Fristansetzung nach Art. 263 ZPO keinen Sinn. In der Literatur ist anerkannt, dass es spezielle Konstellationen geben kann, bei welchen eine Fristansetzung unterbleiben darf (vgl. die Hinweise bei Johann Zürcher, DIKE-Komm-ZPO, N 4 zu Art. 263). Allerdings ist im Dispositiv festzuhal- ten, dass das Verbot gemäss Disp.-Ziff. 1 ohne Weiteres dahinfällt, sofern in ei- nem rechtskräftigen Entscheid über den Schadenersatzanspruch der hiesigen Klägerin entschieden und eine allenfalls seitens der hiesigen Beklagten zu de- ckende Forderung getilgt wurde.</w:t>
      </w:r>
    </w:p>
    <w:p>
      <w:r>
        <w:t>- 12 -</w:t>
      </w:r>
    </w:p>
    <w:p>
      <w:r>
        <w:rPr>
          <w:b/>
        </w:rPr>
        <w:t>E. 4.9.3</w:t>
      </w:r>
    </w:p>
    <w:p>
      <w:r>
        <w:t>Zur Klarstellung ist im Dispositiv festzuhalten, das die in der Generalver- sammlung der Beklagten vom 31. März 2017 beschlossene und im SHAB vom tt., tt. und tt. April 2017 öffentlich angekündigte Kapitalherabsetzung der B._____ (Schweiz) AG in Liquidation auf CHF 15'920'008 vom Anwendungsbereich des Verbotes gemäss Disp.-Ziff. 1 ausgeklammert ist.</w:t>
      </w:r>
    </w:p>
    <w:p>
      <w:r>
        <w:rPr>
          <w:b/>
        </w:rPr>
        <w:t>E. 4.9.4</w:t>
      </w:r>
    </w:p>
    <w:p>
      <w:r>
        <w:t>Nachdem keine Fristansetzung zur Einreichung einer Hauptklage erfolgt, sind die Nebenfolgen definitiv zu regeln. Da die Beklagte im Wesentlichen unter- liegt, wird sie kostenpflichtig und hat der Klägerin eine Parteientschädigung zu bezahlen (Art. 106 ZPO). Mangels Begründung bleibt die Mehrwertsteuer unbe- rücksichtigt (BGer 4A_552/2015 E. 4.5). Der Streitwert beträgt CHF 3 Mio.</w:t>
      </w:r>
    </w:p>
    <w:p>
      <w:r>
        <w:rPr>
          <w:b/>
        </w:rPr>
        <w:t>E. 4.9.5</w:t>
      </w:r>
    </w:p>
    <w:p>
      <w:r>
        <w:t>Es ist darauf hinzuweisen, dass Entscheide des Handelsgerichts grundsätz- lich sofort vollstreckbar sind und in Rechtskraft erwachsen. Der Einzelrichter erkennt:</w:t>
      </w:r>
    </w:p>
    <w:p>
      <w:r>
        <w:rPr>
          <w:b/>
        </w:rPr>
        <w:t>E. 7</w:t>
      </w:r>
    </w:p>
    <w:p>
      <w:r>
        <w:t>ff.) stellen eine Art Minireplik dar, welche aber nicht geeignet sind, das Vorhan- densein einer "Wahnforderung" zu bejahen. Der Vorwurf des Rechtsmissbrauchs ist im vorliegenden Verfahren nicht glaubhaft gemacht. Die tiefen Anforderungen an die Schlüssigkeit waren und sind in casu erfüllt. Wieso die beiden Parteien mit der zivilrechtlichen Auseinandersetzung so lange zugewartet haben, ist nicht nachvollziehbar. Den Vorwurf müssen sich aber beide Seiten gefallen lassen und sie dürfen daraus keine Vorteile für sich ableiten. Gesamthaft ist die Anspruchsvo-</w:t>
      </w:r>
    </w:p>
    <w:p>
      <w:r>
        <w:t>- 9 - raussetzung der "strittigen Verbindlichkeit" auch im Umfange von CHF 3 Mio.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