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ZH_HANDELSGERICHT HE160333 vom 12. September 2016</w:t>
      </w:r>
    </w:p>
    <w:p>
      <w:r>
        <w:t>Zh Handelsgericht, 2016-09-12, DE</w:t>
      </w:r>
    </w:p>
    <w:p>
      <w:r>
        <w:rPr>
          <w:b/>
        </w:rPr>
        <w:t xml:space="preserve">Quelle: </w:t>
      </w:r>
      <w:r>
        <w:t>https://mcp.opencaselaw.ch/entscheid/zh_handelsgericht_HE160333</w:t>
      </w:r>
    </w:p>
    <w:p>
      <w:r>
        <w:t>FR: ZH_HANDELSGERICHT HE160333 du 12 septembre 2016</w:t>
      </w:r>
    </w:p>
    <w:p>
      <w:r>
        <w:t>IT: ZH_HANDELSGERICHT HE160333 del 12 settembre 2016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In einer superprovisorischen Verfügung sei das Grundbuchamt C._____ sofort anzuweisen, das in Ziff. 1 hiervor beantragte Bau- handwerkerpfandrecht sofort vorläufig im Grundbuch vorzumerken.</w:t>
      </w:r>
    </w:p>
    <w:p>
      <w:r>
        <w:rPr>
          <w:b/>
        </w:rPr>
        <w:t>E. 3</w:t>
      </w:r>
    </w:p>
    <w:p>
      <w:r>
        <w:t>Der Klägerin sei eine Frist von drei Monaten, gerechnet ab Rechts- kraft des Befehlsentscheids betreffend vorläufige Vormerkung, an- zusetzen, um Klage auf definitive Eintragung des Bauhandwerker- pfandrechts gemäss Ziffer 1 hiervor zu Lasten Grundbuch C._____, Grundbuch Blatt ..., Kataster Nr. ..., D._____-Strasse ..., einzureichen.</w:t>
      </w:r>
    </w:p>
    <w:p>
      <w:r>
        <w:rPr>
          <w:b/>
        </w:rPr>
        <w:t>E. 4</w:t>
      </w:r>
    </w:p>
    <w:p>
      <w:r>
        <w:t>Die Höhe der Gerichtsgebühr wird nach der Gebührenverordnung des Obergerichts bestimmt (Art. 96 ZPO i.V.m. § 199 Abs. 1 GOG) und richtet sich in erster Linie nach dem Streitwert bzw. nach dem tatsächlichen Streitinteresse (§ 2 Abs. 1 lit. a GebV OG). Es ist von einem Streitwert von CHF 34'064.75 auszuge- hen, wobei die Gerichtsgebühr in Anwendung von § 4 Abs. 1 und 2 sowie § 8 Abs. 1 und § 10 Abs. 2 GebV OG auf CHF 2'000.– festzusetzen ist.</w:t>
      </w:r>
    </w:p>
    <w:p>
      <w:r>
        <w:t>- 4 -</w:t>
      </w:r>
    </w:p>
    <w:p>
      <w:r>
        <w:rPr>
          <w:b/>
        </w:rPr>
        <w:t>E. 5</w:t>
      </w:r>
    </w:p>
    <w:p>
      <w:r>
        <w:t>Über den Pfandanspruch der Gesuchstellerin ist noch nicht definitiv ent- schieden. Es wird im ordentlichen Verfahren festzustellen sein, ob die Gesuch- stellerin endgültig obsiegt. Daher rechtfertigt es sich, im vorliegenden Verfahren lediglich eine einstweilige Kostenregelung zu treffen. Gemäss Praxis des Ein- zelgerichts des Handelsgerichts des Kantons Zürich sind die Gerichtskosten im Verfahren betreffend die vorläufige Eintragung des Pfandrechts von der Gesuch- stellerin zu beziehen, wobei der endgültige Entscheid des Gerichts im ordent- lichen Verfahren vorbehalten bleibt.</w:t>
      </w:r>
    </w:p>
    <w:p>
      <w:r>
        <w:rPr>
          <w:b/>
        </w:rPr>
        <w:t>E. 6</w:t>
      </w:r>
    </w:p>
    <w:p>
      <w:r>
        <w:t>Auch der Entscheid betreffend die Entschädigungsfolgen ist dem ordent- lichen Verfahren vorbehalten. Für den Fall, dass die Gesuchstellerin ihren An- spruch jedoch nicht prosequieren sollte, ist der Gesuchsgegnerin mangels pro- zessualem Aufwand keine Entschädigung zuzusprechen. Der Gesuchstellerin ist für diesen Fall ebenfalls keine Entschädigung zuzusprechen. Das Einzelgericht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