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HE160271 vom 16. August 2016</w:t>
      </w:r>
    </w:p>
    <w:p>
      <w:r>
        <w:t>Zh Handelsgericht, 2016-08-16, DE</w:t>
      </w:r>
    </w:p>
    <w:p>
      <w:r>
        <w:rPr>
          <w:b/>
        </w:rPr>
        <w:t xml:space="preserve">Quelle: </w:t>
      </w:r>
      <w:r>
        <w:t>https://mcp.opencaselaw.ch/entscheid/zh_handelsgericht_HE160271</w:t>
      </w:r>
    </w:p>
    <w:p>
      <w:r>
        <w:t>FR: ZH_HANDELSGERICHT HE160271 du 16 août 2016</w:t>
      </w:r>
    </w:p>
    <w:p>
      <w:r>
        <w:t>IT: ZH_HANDELSGERICHT HE160271 del 16 agosto 2016</w:t>
      </w:r>
    </w:p>
    <w:p>
      <w:pPr>
        <w:pStyle w:val="Heading2"/>
      </w:pPr>
      <w:r>
        <w:t>Erwägungen</w:t>
      </w:r>
    </w:p>
    <w:p>
      <w:r>
        <w:rPr>
          <w:b/>
        </w:rPr>
        <w:t>E. 1</w:t>
      </w:r>
    </w:p>
    <w:p>
      <w:r>
        <w:t>Bei der Beklagten liegt ein schwerwiegender Organisationsmangel vor. Sie verfügt über − keine Geschäftsführung (Art. 809 ff. OR), − kein gültiges Domizil.</w:t>
      </w:r>
    </w:p>
    <w:p>
      <w:r>
        <w:rPr>
          <w:b/>
        </w:rPr>
        <w:t>E. 2</w:t>
      </w:r>
    </w:p>
    <w:p>
      <w:r>
        <w:t>Gestützt auf die Klage des Kantons Zürich (Handelsregisteramt) wurde der Beklagten Frist zur Behebung des Mangels angesetzt (Prot. S. 2). Die Frist verstrich ungenutzt. Androhungsgemäss ist die Beklagte aufzulösen und ihre Li- quidation nach den Vorschriften über den Konkurs anzuordnen (Art. 819 OR in Verbindung mit Art. 731b Abs. 1 Ziff. 3 OR).</w:t>
      </w:r>
    </w:p>
    <w:p>
      <w:r>
        <w:rPr>
          <w:b/>
        </w:rPr>
        <w:t>E. 3</w:t>
      </w:r>
    </w:p>
    <w:p>
      <w:r>
        <w:t>Die Gerichtsgebühr wird festgesetzt auf CHF 2'200.00.</w:t>
      </w:r>
    </w:p>
    <w:p>
      <w:r>
        <w:t>- 3 -</w:t>
      </w:r>
    </w:p>
    <w:p>
      <w:r>
        <w:rPr>
          <w:b/>
        </w:rPr>
        <w:t>E. 4</w:t>
      </w:r>
    </w:p>
    <w:p>
      <w:r>
        <w:t>Die Kosten werden der Beklagten auferlegt.</w:t>
      </w:r>
    </w:p>
    <w:p>
      <w:r>
        <w:rPr>
          <w:b/>
        </w:rPr>
        <w:t>E. 5</w:t>
      </w:r>
    </w:p>
    <w:p>
      <w:r>
        <w:t>Die Beklagte wird verpflichtet, dem Kläger eine Umtriebsentschädigung von CHF 300.00 zu bezahlen.</w:t>
      </w:r>
    </w:p>
    <w:p>
      <w:r>
        <w:rPr>
          <w:b/>
        </w:rPr>
        <w:t>E. 6</w:t>
      </w:r>
    </w:p>
    <w:p>
      <w:r>
        <w:t>Schriftliche Mitteilung an die Parteien (an die Beklagte durch Publikation im kantonalen Amtsblatt) sowie nach Eintritt der Rechtskraft an das Betrei- bungsamt Zürich 5 und unter Beilage der Einlegerakten des Klägers an das Konkursamt Aussersihl-Zürich. Das Konkursamt hat die Einlegerakten des Klägers zu behalten, oder – falls es sie nicht (mehr) benötigt – an das Handelsregisteramt weiterzuleiten. Sie sind dem Handelsgericht nur dann zu retournieren, wenn zufolge einer Wie- deraufnahme des Verfahrens eine entsprechende Aufforderung erfolgt.</w:t>
      </w:r>
    </w:p>
    <w:p>
      <w:r>
        <w:rPr>
          <w:b/>
        </w:rPr>
        <w:t>E. 7</w:t>
      </w:r>
    </w:p>
    <w:p>
      <w:r>
        <w:t>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 Der Streit- wert beträgt mindestens CHF 30'000.00. Zürich, 16. August 2016 Handelsgericht des Kantons Zürich Einzelgericht Gerichtsschreiber: Dr. Benjamin Büchler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