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HE160149 vom 29. Juni 2016</w:t>
      </w:r>
    </w:p>
    <w:p>
      <w:r>
        <w:t>Zh Handelsgericht, 2016-06-29, DE</w:t>
      </w:r>
    </w:p>
    <w:p>
      <w:r>
        <w:rPr>
          <w:b/>
        </w:rPr>
        <w:t xml:space="preserve">Quelle: </w:t>
      </w:r>
      <w:r>
        <w:t>https://mcp.opencaselaw.ch/entscheid/zh_handelsgericht_HE160149</w:t>
      </w:r>
    </w:p>
    <w:p>
      <w:r>
        <w:t>FR: ZH_HANDELSGERICHT HE160149 du 29 juin 2016</w:t>
      </w:r>
    </w:p>
    <w:p>
      <w:r>
        <w:t>IT: ZH_HANDELSGERICHT HE160149 del 29 giugno 2016</w:t>
      </w:r>
    </w:p>
    <w:p>
      <w:pPr>
        <w:pStyle w:val="Heading2"/>
      </w:pPr>
      <w:r>
        <w:t>Erwägungen</w:t>
      </w:r>
    </w:p>
    <w:p>
      <w:r>
        <w:rPr>
          <w:b/>
        </w:rPr>
        <w:t>E. 30</w:t>
      </w:r>
    </w:p>
    <w:p>
      <w:r>
        <w:t>September 2015. Die Kündigung erfolgte form- und fristgerecht, insbesondere unter Einhaltung der in den beiden Mietverträgen enthaltenen Kündigungsbe- stimmungen. In der Folge leitete die Beklagte ein Schlichtungsverfahren ein und verlangte die Erstreckung des Mietverhältnisses. Die Gültigkeit der durch die Klä- gerin ausgesprochenen Kündigung wurde dabei nicht angefochten. Da an der Schlichtungsverhandlung keine Einigung erzielt werden konnte, wurde der Be- klagten die Klagebewilligung erteilt. Am 14. August 2015 reichte die Beklagte beim Mietgericht Zürich Klage ein und verlangte die Aufhebung der Kündigung und Erstreckung des Mietverhältnisses. Die Klage richtete sich fälschlicherweise gegen die Verwalterin der Liegenschaft, nämlich die D._____ IMMOBILIEN AG, und nicht gegen die Klägerin. Am 15./16. Dezember 2015, also noch vor der an- gesetzten Hauptverhandlung, schlossen die Parteien eine Vereinbarung, worin festgehalten wurde, dass die am 3. März 2015 durch die Klägerin erfolgte Kündi- gung des mit der Beklagten bestehenden Mietverhältnisses gültig ist. Zudem ver- einbarten die Parteien, dass das Mietverhältnis bis zum 31. März 2016 erstreckt wird, wobei jedoch eine weitere Erstreckung ausdrücklich ausgeschlossen wurde. Die Beklagte verpflichtete sich zudem, die Mietobjekte spätestens am 31. März 2016 zu verlassen (vgl. Ziff. 3). Das Mietgericht Zürich schrieb in der Folge das Verfahren unter Verweis auf die zwischen den Parteien geschlossene Vereinba- rung ab. Am 11. März 2016 wurde vonseiten der Beklagten um eine nochmalige Erstreckung des Mietverhältnisses bis zum 30. September 2016 gebeten, worauf vonseiten der Klägerin mitgeteilt wurde, dass eine nochmalige Erstreckung nicht in Frage komme. Die Beklagte wurde darauf hingewiesen, dass sie bis spätestens</w:t>
      </w:r>
    </w:p>
    <w:p>
      <w:r>
        <w:t>- 7 - am 31. März 2016 die Mietobjekte verlassen müsse. Bis zum heutigen Tag hat die Beklagte die Mietobjekte nicht verlassen (act. 1 S. 6 ff. Rz. 15 ff.; act. 23 S. 2 ff. Rz. 2 ff.; act. 3/1-17). 4.2. Die Beklagte bringt vor, dass das Mietverhältnis stillschweigend erstreckt worden sei. Dies ergebe sich nur schon daraus, dass die D._____ IMMOBILIEN AG auch Mietzins für die Zeit ab 1. April 2016 verlange. Die Klägerin könne nicht einerseits Mietzins verlangen und andererseits behaupten, das Mietverhältnis sei aufgelöst. Wenn das Mietverhältnis wirklich aufgelöst wäre, würde sie Schadener- satz verlangen. Die Beklagte sei dringend auf eine Verlängerung des Mietverhält- nisses angewiesen. Dies sei ihr denn auch stillschweigend zugestanden worden. Sodann führt sie aus, dass sie für das Erstreckungsverfahren einen Kollegen als Berater beigezogen habe, welcher sie allerdings nicht richtig beraten habe. Da die Liegenschaften-Verwalterin anstelle der Liegenschaften-Eigentümerin eingeklagt worden sei, sei die Beklagte mit ihrem Erstreckungsbegehren gescheitert. Sie hät- te aber natürlich ohne Weiteres eine Erstreckung bis Ende September 2016 erhal- ten, wenn keine prozessualen Fehler gemacht worden wären. Es sei nicht ge- recht, wenn die Beklagte wegen falscher Beratung keine weitere Erstreckung er- halte und sich auf einen Vergleich einlassen müsse. Sodann sei es auch nicht ge- recht, wenn der auf den 1. Januar 2014 abgeschlossene Mietvertrag bereits ein Jahr später wieder gekündigt werde. Auch entspreche es nicht der Wahrheit, dass der Grund für die Kündigung der Eigenbedarf der Klägerin sei (act. 23 S. 3 f. Rz. 5 ff.). 5. Rechtliches 5.1. Gemäss Art. 257 Abs. 1 ZPO gewährt das Gericht nur dann Rechtsschutz im summarischen Verfahren, wenn der Sachverhalt unbestritten oder sofort be- weisbar (lit. a) und die Rechtslage klar ist (lit. b). Fehlt eine dieser Voraussetzun- gen, ist auf das Gesuch nicht einzutreten (Art. 257 Abs. 3 ZPO). Die Rechtslage ist klar, wenn sich die Rechtsfolge bei der Anwendung des Gesetzes unter Be- rücksichtigung der Lehre und Rechtsprechung ohne Weiteres ergibt und damit die Rechtsanwendung zu einem eindeutigen Ergebnis führt (BGE 138 III 123, E. 2.1.2, m.w.H.). Bestreitet die beklagte Partei den Sachverhalt, so kann der</w:t>
      </w:r>
    </w:p>
    <w:p>
      <w:r>
        <w:t>- 8 - Rechtsschutz nur gewährt werden, wenn die klagende Partei den Sachverhalt (die anspruchsbegründenden Tatsachen) zu beweisen vermag; und zwar sofort. So- fort beweisbar ist ein Sachverhalt nach der Rechtsprechung des Bundesgerichts, wenn er ohne zeitliche Verzögerung und ohne besonderen Aufwand nachgewie- sen werden kann (Urteil des Bundesgerichts 5A_768/2012, E. 4.2.1; BGE 138 III 123, E. 2.1.1; BGE 138 III 620, E. 5.1.1). Es muss in Anbetracht der Einwendun- gen und Einreden der beklagten Partei noch ein liquider Sachverhalt, d.h. ein kla- rer Fall, vorliegen. Offensichtlich haltlose bzw. offensichtlich unbegründete (blosse "Schutz")Behauptungen, über die sofort entschieden werden kann, genügen in- dessen nicht, um einen klaren Fall auszuschliessen (BGE 138 III 620, E. 5.1.1). 5.2. Damit der Mieter auf seine Kündigungsschutzrechte, insbesondere auf ei- ne Erstreckung des Mietverhältnisses, rechtsgültig verzichten kann, wird bei un- befristeten Mietverhältnissen eine gültige Kündigung vorausgesetzt. Der Mieter kann alsdann rechtsgültig über die ihm zustehenden Kündigungsschutzrechte verhandeln und daher mit dem Vermieter einen Verzicht auf Erstreckung des Mietverhältnisses bzw. eine bestimmte Erstreckungsdauer vereinbaren. Eine sol- che Vereinbarung kann auch ausserhalb eines gerichtlichen Verfahrens ge- schlossen werden (SVIT-Kommentar Mietrecht, a.a.O., Art. 273c N. 3 f.) 5.3. Nach beendetem Mietverhältnis muss der Mieter die Sache gemäss Art. 267 OR dem Vermieter zurückgeben. Zur Durchsetzung des Rückgabean- spruchs bei Wohn- und Geschäftsräumen kann der Vermieter die Ausweisung des Mieters beantragen (SVIT-Kommentar Mietrecht, 3. Aufl., Zürich 2008, Art. 267-267a N. 15). Mit der Ausweisungsklage kann der Vermieter Vollstre- ckungsmassnahmen, d.h. insbesondere einen Ausweisungsbefehl, verlangen (Art. 236 Abs. 3 ZPO und Art. 337 Abs. 1 ZPO). 6. Würdigung 6.1. Vorliegend ist die Rechtslage klar, womit ein klägerischer Anspruch nach Art. 257 ZPO gegeben ist. Es ist unbestritten und mit den Akten belegt, dass das Mietverhältnis zwischen den Parteien rechtsgültig gekündigt wurde (act. 1 S. 6 ff. Rz. 15 ff.; act. 23 S. 2 ff. Rz. 2 ff.; act. 3/5). Dies wurde im Übrigen auch in der</w:t>
      </w:r>
    </w:p>
    <w:p>
      <w:r>
        <w:t>- 9 - zwischen den Parteien getroffenen Vereinbarung vom 15./16. Dezember 2015 ausdrücklich so festgehalten (act. 3/9 Ziffer 1). Auch haben sich die Parteien in der betreffenden Vereinbarung unbestritten geeinigt, dass die Beklagte bis zum</w:t>
      </w:r>
    </w:p>
    <w:p>
      <w:r>
        <w:rPr>
          <w:b/>
        </w:rPr>
        <w:t>E. 31</w:t>
      </w:r>
    </w:p>
    <w:p>
      <w:r>
        <w:t>Dezember 2016 ist dagegen nicht einzutreten. 7. Vollstreckungsmassnahmen Die Klägerin beantragt als Vollstreckungsmassnahmen sowohl die Androhung der Bestrafung wegen Ungehorsams nach Art. 292 StGB als auch die ersatzweise Vornahme durch das zuständige Stadtammannamt. Verschiedene Massnahmen können grundsätzlich kombiniert werden. Eine gleichzeitige Androhung einer Strafe nach Art. 292 StGB und einer Ordnungsbus- se ist jedoch zu vermeiden (STAEHELIN, in: SUTTER-SOMM/HASENBÖHLER/LEUEN-</w:t>
      </w:r>
    </w:p>
    <w:p>
      <w:r>
        <w:t>- 10 - BERGER [HRSG.], Kommentar zur Schweizerischen Zivilprozessordnung, 3. Aufl., Zürich/Basel/Genf 2016, Art. 343 N. 13 ff.; KELLERHALS, in: Berner Kommentar, Schweizerische Zivilprozessordnung, Bd. II, Bern 2012, Art. 343 N. 10; für die Un- zulässigkeit dieser Kombination: BOMMER, in: SHK Schweizerische Zivilprozess- ordnung, Bern 2010, Art. 343 N. 5; ROHNER/JENNY, in BRUNNER/GASSER/SCHWAN- DER [HRSG.], DIKE-Komm-ZPO, Zürich/St. Gallen 2011, Art. 343 N. 6). Über die Anordnung der Massnahmen entscheidet das Gericht nach seinem eigenen Er- messen. Dabei hat es den Grundsatz der Verhältnismässigkeit zu beachten (ZINSLI, in: SPÜHLER/TENCHIO/INFANGER [HRSG.], Basler Kommentar, Schweizeri- sche Zivilprozessordnung, 2. Aufl., Basel 2013, Art. 343 N. 4). Zur Durchsetzung des Ausweisungsbefehls erscheint vorliegend die Anweisung an das Stadtammannamt Zürich 1, den Ausweisungsbefehl auf erstes Verlangen der Klägerin zu vollstrecken als am zweckmässigsten. Auf eine vorgängige Fristansetzung durch das Gericht kann daher verzichtet werden. 8. Kosten- und Entschädigungsfolgen 8.1. Ausgangsgemäss ist die Beklagte vollumfänglich kosten- und entschädi- gungspflichtig (Art. 106 Abs. 1 ZPO). Für die Prozesskosten werden die Streitwer- te des Gesuchs und des Widergesuchs nicht zusammengerechnet, da sich die Begehren – wie erwähnt – gegenseitig ausschliessen (Art. 94 Abs. 2 ZPO). Es wird somit auf den höheren Streitwert (Art. 94 Abs. 1 ZPO) und damit auf denjeni- gen des Widergesuchs abgestellt. Ausgehend vom Streitwert des Widergesuchs um Erstreckung des Mietverhältnis- ses, welcher sich – wie erwähnt – auf CHF 35'856.– beläuft, ist die Gerichtsge- bühr – unter Berücksichtigung des geringen Zeitaufwands hinsichtlich des Wider- gesuchs – auf CHF 3'000.– festzusetzen (§ 4 Abs. 1 und 2 i.V.m. § 8 Abs. 1 GebV OG). 8.2. Sodann ist der Klägerin in Anwendung von § 2 Abs. 1 lit. a und § 4 Abs. 1 i.V.m. § 9 und § 11 Abs. 1 AnwGebV – unter Berücksichtigung dessen, dass sich die Klägerin zum Widergesuch um Erstreckung des Mietverhältnisses nicht zu</w:t>
      </w:r>
    </w:p>
    <w:p>
      <w:r>
        <w:t>- 11 - äussern brauchte – eine Parteientschädigung von CHF 2'800.– zuzusprechen. Die Mehrwertsteuer ist nach neuester Rechtsprechung (vgl. Urteil des Bundesge- richts 4A_552/2015 vom 25. Mai 2016, E. 4.5.) nicht zu berücksichtigen.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