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HE150090 vom 18. Mai 2016</w:t>
      </w:r>
    </w:p>
    <w:p>
      <w:r>
        <w:t>Zh Handelsgericht, 2016-05-18, DE</w:t>
      </w:r>
    </w:p>
    <w:p>
      <w:r>
        <w:rPr>
          <w:b/>
        </w:rPr>
        <w:t xml:space="preserve">Quelle: </w:t>
      </w:r>
      <w:r>
        <w:t>https://mcp.opencaselaw.ch/entscheid/zh_handelsgericht_HE150090</w:t>
      </w:r>
    </w:p>
    <w:p>
      <w:r>
        <w:t>FR: ZH_HANDELSGERICHT HE150090 du 18 mai 2016</w:t>
      </w:r>
    </w:p>
    <w:p>
      <w:r>
        <w:t>IT: ZH_HANDELSGERICHT HE150090 del 18 maggio 2016</w:t>
      </w:r>
    </w:p>
    <w:p>
      <w:pPr>
        <w:pStyle w:val="Heading2"/>
      </w:pPr>
      <w:r>
        <w:t>Erwägungen</w:t>
      </w:r>
    </w:p>
    <w:p>
      <w:r>
        <w:rPr>
          <w:b/>
        </w:rPr>
        <w:t>E. 6</w:t>
      </w:r>
    </w:p>
    <w:p>
      <w:r>
        <w:t>Mai 2015, E. 7.2.2.). Auch die zahlreiche Lehre und Rechtsprechung zur Medienberichterstattung im Allgemeinen ist hilfsweise herbeizuziehen. 5.3.5.3. GAV, Paritätische Kommissionen, laufendes Verfahren vor der Regiona- len Paritätischen Berufskommission für das K1._____ und Medienkonfe- renz vom tt. März 2015 a. Vorliegend ist der Klägerin zu folgen, dass die Rolle der Beklagten 1-3 im Kontext der GAV und in den paritätischen Berufskommissionen nicht unberück- sichtigt bleiben kann. Diese Rolle erschliesst sich nicht ohne weiteres. Die Kläge- rin konnte glaubhaft machen, dass die hier interessierenden Paritätischen Kom- missionen und das System der GAV in der betroffenen Branche in Zürich wie folgt ausgestaltet sind (act. 2 Rz. 19 ff.; im Übrigen ist diese Ausgestaltung zwischen den Parteien auch weitgehend unbestritten; vgl. act. 2 Rz. 20; act. 44 S. 20; act. 42 Rz. 40; act. 36 S. 1 ff.): GAV: Einerseits gibt es einen vom Bundesrat allgemeinverbindlich erklärten Ge- samtarbeitsvertrag für das …- und …gewerbe, dessen territorialer Geltungsbe-</w:t>
      </w:r>
    </w:p>
    <w:p>
      <w:r>
        <w:t>- 29 - reich sich auf die meisten Kantone, auch den Kanton Zürich, erstreckt. Ausge- nommen davon ist einzig die Stadt Zürich. Für diese besteht andererseits ein ei- gener, vom Regierungsrat allgemeinverbindlich erklärter GAV. Der GAV Bund wurde zwischen dem I._____-Verband (I._____) auf der einen Seite und der Gewerkschaft D._____ (= Beklagte 3) sowie der Gewerkschaft P._____ auf der anderen Seite geschlossen. Dem I._____ sind mehrere Regio- nalverbände (u.a. die Beklagte 1) angeschlossen. Der GAV Stadt Zürich wurde zwischen dem …verband C._____ (= Beklagten 2) auf der einen Seite und der Gewerkschaft D._____, Sektion Zürich, auf der ande- ren Seite geschlossen. Paritätische Kommissionen: Vollzugs- und Kontrollorgane der beiden GAV sind jeweils die eigens dafür eingesetzten Paritätischen Berufskommissionen. Ihnen kommen namentlich die Aufgaben und Kompetenzen gemäss Art. 357b Abs. 1 OR zu. Sie sind insbesondere befugt und verpflichtet, laufend in den Betrieben die Einhaltung der GAV zu überprüfen und allenfalls Konventionalstrafen auszufällen. Die Paritätischen Kommissionen wiederum setzten sich je aus Vertretern der Ver- tragsparteien der beiden GAV (also namentlich den Beklagten 1-3) zusammen. Auf nationaler Ebene ist dies in Bezug auf den GAV Bund die ZPBK (Zentrale Pa- ritätische Berufskommission des K._____), bestehend aus Vertretern der I._____, der D._____ und der P._____. In den regionalen Vertragsgebieten setzen die GAV-Parteien bzw. Sektionen Regionale Paritätische Berufskommissionen (RPBK) ein. Diese sind wie die ZPBK ebenfalls paritätisch zusammengesetzt. Die RPBK erhalten von der ZPBK den Vollzug im Sinne einer Vollmacht delegiert. Zusammenfassend kann festgehalten werden, dass alle drei Beklagten in den je- weiligen erwähnten Paritätischen Kommissionen vertreten sind, was auch unbe- stritten blieb (act. 2 Rz. 25; act. 44 S. 20; act. 42 Rz. 41; act. 36). b. Laufendes Verfahren vor der RPBK K1._____: Die Klägerin konnte weiter glaubhaft machen, dass im August 2014 durch die von der RPBK K1._____ dazu eingesetzte Q._____ GmbH am Sitz der Klägerin periodische Lohnbuchkontrollen</w:t>
      </w:r>
    </w:p>
    <w:p>
      <w:r>
        <w:t>- 30 - vorgenommen wurden. Daraus resultierte ein Verfahren vor der RPBK K1._____, wobei die Klägerin am tt. März 2015, dem Tag der Pressekonferenz, über die Vorwürfe noch nicht formell informiert war. Ferner wurde ihr auch noch nicht das "rechtliche Gehör" gewährt (act. 2 Rz. 19 ff.). Die Entgegnung des Beklagten 1, es sei "klar", dass die Klägerin aktiv um die absichtlich gemachten Verletzungen des GAV gewusst habe, ob sie den Lohnbuchkontrollbericht (act. 20/45) bis am</w:t>
      </w:r>
    </w:p>
    <w:p>
      <w:r>
        <w:rPr>
          <w:b/>
        </w:rPr>
        <w:t>E. 11</w:t>
      </w:r>
    </w:p>
    <w:p>
      <w:r>
        <w:t>Abs. 1 und 2 AnwGebV für den Fall, dass die vorsorglichen Massnahmen we- gen Säumnis dahinfallen, zu verpflichten, den Beklagten eine Parteientschädi- gung in der Höhe von je CHF 10'000.– (inkl. MWST) zu bezahlen. Der Einzelrichter verfügt: 1. Die Unzuständigkeitseinrede der Beklagten 1-3 wird abgewiesen. 2. Der klägerische Antrag auf Beweisschutz betreffend die Urkunden act. 21/70 und act. 21/71 wird gutgeheissen. Die Urkunden act. 21/70 und act. 21/71 werden weiterhin in den Verfahrensakten gesondert aufbewahrt und den Beklagten nicht zugänglich gemacht. 3. Auf die ergänzenden Rechtsbegehren gemäss der "Ergänzung zum Gesuch um Erlass vorsorglicher Massnahmen vom 11. März 2015" vom 9. April 2015 (act. 19: Rechtsbegehren Ziff. 1.10., 1.11., 2. und 2.1.-2.11.) wird nicht ein- getreten. 4. Schriftliche Mitteilung, Regelung der Kosten- und Entschädigungsfolgen so- wie Rechtsmittelbelehrung mit nachstehendem Erkenntnis. Der Einzelrichter erkennt: 1. Den Beklagten 1-3 wird – unter Androhung der Bestrafung ihrer Organe mit Busse wegen Verstosses gegen Art. 292 StGB im Falle der Zuwiderhand-</w:t>
      </w:r>
    </w:p>
    <w:p>
      <w:r>
        <w:t>- 53 - lung – im Sinne einer vorsorglichen Massnahme verboten, gegenüber Medien oder Geschäftspartnern und Auftraggebern die folgenden Äusserun- gen direkt oder sinngemäss zu äussern oder weiter zu verbreiten: - Die Klägerin unterlaufe systematisch die Bestimmungen des GAV (RB Ziff. 1.1.) - Die Klägerin habe sich eines "Betrugs" schuldig gemacht, der ungehin- dert weiterlaufe (RB Ziff. 1.2.) - Die Klägerin habe" Verfehlungen in Millionenhöhe" begangen bzw. schulde ihren Arbeitnehmern entsprechende Beträge (RB Ziff. 1.3.) - Die Klägerin habe einen Grossteil der Arbeiter zu Unrecht als Hilfsar- beiter eingestuft (RB Ziff. 1.4.) - Die Klägerin habe sich "massive Verstösse bei den Arbeitszeiten" zu- schulde kommen lassen; so seien 6-Tage-Wochen und Arbeitszeiten von 55-60 Stunden statt der ausgewiesenen 42 Stunden pro Woche Normalfall (RB Ziff. 1.5.) - In diesem Zusammenhang habe sich die Klägerin der Urkundenfäl- schung schuldig gemacht; sie arbeite auch mit gefälschten Selbstde- klarationen (RB Ziff. 1.6.) - Die Klägerin habe bei ihren Mitarbeitern zu hohe Abzüge für Wohnun- gen und Auto vorgenommen (RB Ziff. 1.7.) - Die … Mitarbeiter der Klägerin hätten Teile ihres Lohnes ihrer Arbeit- geberin zurückbezahlen müssen, so dass für diese ein effektiver Stun- denlohn von 11 € pro Std. resultiere (RB Ziff. 1.8.). 2. Den Beklagten 1 und 3 wird – unter Androhung der Bestrafung ihrer Organe mit Busse wegen Verstosses gegen Art. 292 StGB im Falle der Zuwider- handlung – im Sinne einer vorsorglichen Massnahme verboten, gegen-</w:t>
      </w:r>
    </w:p>
    <w:p>
      <w:r>
        <w:t>- 54 - über Medien oder Geschäftspartnern und Auftraggebern die folgenden Äusserungen direkt oder sinngemäss zu äussern oder weiter zu verbreiten: - Die Klägerin habe sich kriminell verhalten bzw. habe eine "erhebliche kriminelle Energie" (RB Ziff. 1.9.). 3. Im Mehrumfang wird das Massnahmebegehren abgewiesen. 4. Der Klägerin wird eine Frist bis 12. Juli 2016 angesetzt, um den Prozess in der Hauptsache anhängig zu machen. Bei Säumnis würden die Anordnun- gen gemäss Dispositiv-Ziff. 1 und 2 ohne weiteres dahinfallen. 5. Die Gerichtsgebühr wird auf CHF 15'000.– festgesetzt. Sie wird von der Klä- gerin bezogen. Fallen die vorsorglichen Massnahmen wegen Säumnis dahin (vgl. Dispositiv-Ziff. 4.), so wird der Kostenbezug definitiv. Kommt es zum Prozess in der Hauptsache, so bleibt die definitive Regelung der Verteilung dem dortigen Verfahren vorbehalten. 6. Die Regelung der Parteientschädigung wird dem Prozess in der Hauptsache vorbehalten. Fallen die vorsorglichen Massnahmen wegen Säumnis dahin (vgl. Dispositiv-Ziff. 4.), hat die Klägerin den Beklagten 1-3 je eine Parteient- schädigung von CHF 10'000.– (inkl. MWST) zu bezahlen. 7. Schriftliche Mitteilung an die Parteien.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200'000.–.</w:t>
      </w:r>
    </w:p>
    <w:p>
      <w:r>
        <w:t>- 55 - Zürich, 18. Mai 2016 Handelsgericht des Kantons Zürich Einzelgericht Gerichtsschreiber: Dr. David 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