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HE140187 vom 3. Juli 2014</w:t>
      </w:r>
    </w:p>
    <w:p>
      <w:r>
        <w:t>Zh Handelsgericht, 2014-07-03, DE</w:t>
      </w:r>
    </w:p>
    <w:p>
      <w:r>
        <w:rPr>
          <w:b/>
        </w:rPr>
        <w:t xml:space="preserve">Quelle: </w:t>
      </w:r>
      <w:r>
        <w:t>https://mcp.opencaselaw.ch/entscheid/zh_handelsgericht_HE140187</w:t>
      </w:r>
    </w:p>
    <w:p>
      <w:r>
        <w:t>FR: ZH_HANDELSGERICHT HE140187 du 3 juillet 2014</w:t>
      </w:r>
    </w:p>
    <w:p>
      <w:r>
        <w:t>IT: ZH_HANDELSGERICHT HE140187 del 3 luglio 2014</w:t>
      </w:r>
    </w:p>
    <w:p>
      <w:pPr>
        <w:pStyle w:val="Heading2"/>
      </w:pPr>
      <w:r>
        <w:t>Erwägungen</w:t>
      </w:r>
    </w:p>
    <w:p>
      <w:r>
        <w:rPr>
          <w:b/>
        </w:rPr>
        <w:t>E. 1</w:t>
      </w:r>
    </w:p>
    <w:p>
      <w:r>
        <w:t>Die Klägerin reichte am 5. Juni 2014 hierorts ein Gesuch um superprovisori- sche Eintragung eines Bauhandwerkerpfandrechts ein (act. 1). Mit Verfügung vom</w:t>
      </w:r>
    </w:p>
    <w:p>
      <w:r>
        <w:rPr>
          <w:b/>
        </w:rPr>
        <w:t>E. 5</w:t>
      </w:r>
    </w:p>
    <w:p>
      <w:r>
        <w:t>Über die Beklagte wurde am 4. Juni 2014 der Konkurs eröffnet. Die vorläufi- ge Eintragung des Bauhandwerkerpfandrechts erfolgte am 5. Juni 2014 (act. 4). Dies ist zulässig (SCHUMACHER, a.a.O., Rz. 1704). Ein solches Bauhandwerker- pfandrecht besitzt im Konkursverfahren den gleichen Wert wie ein vor Konkurser- öffnung im Grundbuch (provisorisch oder definitiv) eingetragenes Bauhandwer- kerpfandrecht. Nach Lehre und Rechtsprechung ist auch ein Bauhandwerker- pfandrecht, das erst vorläufig im Grundbuch eingetragen ist, zur Aufnahme in das Lastenverzeichnis fähig. Für die Zwangsverwertung des Grundstücks und damit auch für die Zwangsverwertung des Bauhandwerkerpfandrechts ist es nicht erfor- derlich, dass es noch definitiv im Grundbuch eingetragen wird. Unter der (resoluti- ven) Bedingung, dass es im rechtskräftigen Lastenverzeichnis eingetragen ist, wird es im konkreten Konkursverfahren genau gleich wie ein definitiv eingetrage- nes Baupfandrecht behandelt und ist insoweit gleichwertig mit einem definitiven Baupfandrecht. Der Prozess um die definitive Eintragung im Grundbuch wird durch das Lastenbereinigungsverfahren ersetzt, das die Rechte aller am Kon- kursverfahren beteiligten Personen wahrt. Dies wird damit begründet, dass die Behandlung eines Anspruchs im Lastenbereinigungs- oder Kollokationsverfahren auch zu einer gerichtlichen Beurteilung des materiellen Anspruchs führen kann (SCHUMACHER, a.a.O., Rz. 1697 f., m.w.H.). Prozessual ist zu beachten, dass für die Dauer des Konkursverfahrens die ordentlichen Zivilgerichte nicht mehr zu-</w:t>
      </w:r>
    </w:p>
    <w:p>
      <w:r>
        <w:t>- 7 - ständig sind, um eine Klage auf definitiven Grundbucheintrag eines Baupfand- rechts zu beurteilen und einen definitiven Grundbucheintrag beim Grundbuchamt anzumelden (SCHUMACHER, a.a.O., Rz. 1701). Heisst das Gericht das Begehren um vorläufige Eintragung gut, so ist von einer Fristansetzung an den Baupfand- gläubiger zur Klage auf definitive Eintragung abzusehen; stattdessen hat das Ge- richt die Konkursverwaltung aufzufordern, es gegebenenfalls über die Einstellung des Konkurses mangels Aktiven (Art. 230/230a SchKG) oder über einen Widerruf des Konkurses (Art. 195/196 SchKG) zu informieren. Tritt einer dieser beiden Fäl- le ein, setzt das Gericht dem Baupfandgläubiger nachträglich Frist zur Klage im ordentlichen Verfahren an. Die Durchführung des Konkursverfahren hingegen be- rührt das für die vorläufige Eintragung zuständige Gericht nicht mehr (HIERHOL- ZER, Basler Kommentar, SchKG II, 2. Aufl., 2010, N. 26 zu Art. 247 SchKG). Vor diesem Hintergrund ist vorliegend von der Ansetzung einer Klagefrist für die definitive Eintragung des Bauhandwerkerpfandrechts abzusehen. Stattdessen ist das Konkursamt Pfäffikon aufzufordern, das Gericht über eine allfällige Einstel- lung des Konkurses mangels Aktiven oder über einen Widerruf des Konkurses zu informieren. Sollte einer dieser Fälle eintreten, wäre die Frist zur Klage auf defini- tive Eintragung nachträglich anzusetzen.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