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HE130318 vom 14. November 2013</w:t>
      </w:r>
    </w:p>
    <w:p>
      <w:r>
        <w:t>Zh Handelsgericht, 2013-11-14, DE</w:t>
      </w:r>
    </w:p>
    <w:p>
      <w:r>
        <w:rPr>
          <w:b/>
        </w:rPr>
        <w:t xml:space="preserve">Quelle: </w:t>
      </w:r>
      <w:r>
        <w:t>https://mcp.opencaselaw.ch/entscheid/zh_handelsgericht_HE130318</w:t>
      </w:r>
    </w:p>
    <w:p>
      <w:r>
        <w:t>FR: ZH_HANDELSGERICHT HE130318 du 14 novembre 2013</w:t>
      </w:r>
    </w:p>
    <w:p>
      <w:r>
        <w:t>IT: ZH_HANDELSGERICHT HE130318 del 14 novembre 2013</w:t>
      </w:r>
    </w:p>
    <w:p>
      <w:pPr>
        <w:pStyle w:val="Heading2"/>
      </w:pPr>
      <w:r>
        <w:t>Erwägungen</w:t>
      </w:r>
    </w:p>
    <w:p>
      <w:r>
        <w:rPr>
          <w:b/>
        </w:rPr>
        <w:t>E. 2</w:t>
      </w:r>
    </w:p>
    <w:p>
      <w:r>
        <w:t>Es seien sämtliche sich noch im Besitze der Beklagten befindlichen Produkte der Gesuchstellerin zu beschlagnahmen;</w:t>
      </w:r>
    </w:p>
    <w:p>
      <w:r>
        <w:rPr>
          <w:b/>
        </w:rPr>
        <w:t>E. 3</w:t>
      </w:r>
    </w:p>
    <w:p>
      <w:r>
        <w:t>Es sei von der Anordnung einer Sicherheitsleistung der Gesuchstellerin abzusehen;</w:t>
      </w:r>
    </w:p>
    <w:p>
      <w:r>
        <w:rPr>
          <w:b/>
        </w:rPr>
        <w:t>E. 4</w:t>
      </w:r>
    </w:p>
    <w:p>
      <w:r>
        <w:t>Es sei der Gesuchstellerin Frist zur Anhebung der ordentlichen Klage anzusetzen;</w:t>
      </w:r>
    </w:p>
    <w:p>
      <w:r>
        <w:rPr>
          <w:b/>
        </w:rPr>
        <w:t>E. 5</w:t>
      </w:r>
    </w:p>
    <w:p>
      <w:r>
        <w:t>Zum gleichen Ergebnis führt auch folgende Überlegung. Die Klägerin beantragt ein umfassendes Vertriebsverbot (einschliesslich Beschlagnahme). Für ein solches nennt sie keine zureichenden Gründe, zumal sie die Zulässigkeit des Parallelimports grundsätzlich nicht in Frage stellt. Die relevante Kritik bezieht sich einzig auf den Kleber, ein Bestandteil, der schwergewichtig lauterkeitsrechtliche Implikationen haben könnte. Folglich kann Gegenstand des Massnahmebegehrens nur die Verwendung des Klebers bzw. die Art und Weise seiner Verwendung (Verwendung überhaupt, allenfalls Grösse, Inhalt und/oder Platzierung usw.) sein. Es gibt Fälle, in welchen das Gericht ein zu umfassend gestelltes Begehren einschränken kann. Eine solche Konstellation besteht vorliegend nicht, da nicht klar ist, worin gemäss klägerischer Vorstellung ein zulässiges Verhalten liegen könnte. Es ist auch nicht auszuschliessen, dass die Klägerin der Ansicht unterliegt, die Beklagte dürfe nach ihrem bisherigen Verhalten überhaupt keine Produkte der Klägerin mehr vertreiben. Von daher käme - wenn man beispielsweise einzelne Aspekte des Vorgehens der Beklagten bei Gestaltung bzw. Verwendung des Klebers als unlauter einstufen wollte - eine eingeschränkte Gutheissung mangels diesbezüglich genügend konkretisierter bzw. konkretisierbarer Aspekte nicht in Frage.</w:t>
      </w:r>
    </w:p>
    <w:p>
      <w:r>
        <w:rPr>
          <w:b/>
        </w:rPr>
        <w:t>E. 6</w:t>
      </w:r>
    </w:p>
    <w:p>
      <w:r>
        <w:t>Ergänzend sei angemerkt, dass die von der Klägerin ebenfalls als die ihrigen bezeichneten Wort-/Bildmarken gemäss act. 3/5 und act. 3/6 offenbar eine andere Inhaberin mit Sitz in Los Angeles haben.</w:t>
      </w:r>
    </w:p>
    <w:p>
      <w:r>
        <w:rPr>
          <w:b/>
        </w:rPr>
        <w:t>E. 7</w:t>
      </w:r>
    </w:p>
    <w:p>
      <w:r>
        <w:t>Ausgangsgemäss wird die Klägerin kostenpflichtig. Sie bezifferte den Streitwert mit CHF 50'000. Er dürfte wohl wesentlich höher liegen. Bei einem Streitwert von</w:t>
      </w:r>
    </w:p>
    <w:p>
      <w:r>
        <w:t>- 7 - beispielsweise CHF 300'000 würde sich allerdings in Anwendung des Äquivalenzprinzipes etwa die gleiche Gebühr ergeben. Deshalb erübrigen sich Weiterungen.</w:t>
      </w:r>
    </w:p>
    <w:p>
      <w:r>
        <w:rPr>
          <w:b/>
        </w:rPr>
        <w:t>E. 8</w:t>
      </w:r>
    </w:p>
    <w:p>
      <w:r>
        <w:t>Die von der Klägerin als Geheimakten titulierten Unterlagen sind in (wieder) verschlossenem Couvert separat aufzubewahren.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