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HE130212 vom 31. Juli 2013</w:t>
      </w:r>
    </w:p>
    <w:p>
      <w:r>
        <w:t>Zh Handelsgericht, 2013-07-31, DE</w:t>
      </w:r>
    </w:p>
    <w:p>
      <w:r>
        <w:rPr>
          <w:b/>
        </w:rPr>
        <w:t xml:space="preserve">Quelle: </w:t>
      </w:r>
      <w:r>
        <w:t>https://mcp.opencaselaw.ch/entscheid/zh_handelsgericht_HE130212</w:t>
      </w:r>
    </w:p>
    <w:p>
      <w:r>
        <w:t>FR: ZH_HANDELSGERICHT HE130212 du 31 juillet 2013</w:t>
      </w:r>
    </w:p>
    <w:p>
      <w:r>
        <w:t>IT: ZH_HANDELSGERICHT HE130212 del 31 luglio 2013</w:t>
      </w:r>
    </w:p>
    <w:p>
      <w:pPr>
        <w:pStyle w:val="Heading2"/>
      </w:pPr>
      <w:r>
        <w:t>Erwägungen</w:t>
      </w:r>
    </w:p>
    <w:p>
      <w:r>
        <w:rPr>
          <w:b/>
        </w:rPr>
        <w:t>E. 1</w:t>
      </w:r>
    </w:p>
    <w:p>
      <w:r>
        <w:t>A._____ Inc.,</w:t>
      </w:r>
    </w:p>
    <w:p>
      <w:r>
        <w:rPr>
          <w:b/>
        </w:rPr>
        <w:t>E. 2</w:t>
      </w:r>
    </w:p>
    <w:p>
      <w:r>
        <w:t>Wie aus den klägerischen Einlassungen hervorgeht, entspricht der SLOC grundsätzlich einer Bankgarantie, d.h. die Zahlung hat auf die Erklärung der Be- günstigten hin, wonach der Schuldner seinen Verpflichtungen nicht nachgekom- men sei, zu erfolgen (act. 1 S. 5).</w:t>
      </w:r>
    </w:p>
    <w:p>
      <w:r>
        <w:rPr>
          <w:b/>
        </w:rPr>
        <w:t>E. 3</w:t>
      </w:r>
    </w:p>
    <w:p>
      <w:r>
        <w:t>Am 12. Juni 2013 forderte D._____ die Beklagte zur Zahlung unter dem SLOC auf. Ein kolumbianisches Gericht untersagte der D._____ am 2. Juli 2013 auf An- trag von B._____ die Inanspruchnahme des SLOC. Nachdem D._____ danach erneut von der Beklagten Zahlung verlangte, erwirkte B._____ am 18. Juli 2013 ein nochmaliges Verbot (act. 3/11).</w:t>
      </w:r>
    </w:p>
    <w:p>
      <w:r>
        <w:t>- 3 -</w:t>
      </w:r>
    </w:p>
    <w:p>
      <w:r>
        <w:rPr>
          <w:b/>
        </w:rPr>
        <w:t>E. 4</w:t>
      </w:r>
    </w:p>
    <w:p>
      <w:r>
        <w:t>In der Tat forderte D._____ am 11. Juli 2013 die Beklagte zur Zahlung eines Betrages von USD 24'958'117.35 auf, unter Hinweise auf Vertragsverletzungen seitens B._____ (vgl. Sammeldossier act. 3/9). Am 12. Juli 2013 informierte die Beklagte A._____ und B._____ über diesen Vorgang (act. 9). Angesichts der Na- tur des SLOC sei sie verpflichtet, die Zahlung spätestens am 26. Juli 2013 zu leis- ten, vorbehältlich eines entgegenstehenden richterlichen Befehls, welcher D._____ verbiete, die Zahlung zu verlangen.</w:t>
      </w:r>
    </w:p>
    <w:p>
      <w:r>
        <w:rPr>
          <w:b/>
        </w:rPr>
        <w:t>E. 5</w:t>
      </w:r>
    </w:p>
    <w:p>
      <w:r>
        <w:t>Am 26. Juli 2013 überbrachten die Klägerinnen das vorliegende Massnahme- gesuch mit dem zitierten Rechtsbegehren (act. 1). Anbegehrt wurde auch der su- perprovisorische Erlass der Anordnung.</w:t>
      </w:r>
    </w:p>
    <w:p>
      <w:r>
        <w:rPr>
          <w:b/>
        </w:rPr>
        <w:t>E. 6</w:t>
      </w:r>
    </w:p>
    <w:p>
      <w:r>
        <w:t>Mit Verfügung vom 26. Juli 2013 erwog und verfügte das Einzelgericht das Fol- gende (Prot.S. 2 f.): "(…) Die Klägerinnen wurden gemäss act. 3/9 vor 14 Tagen von der Beklagten (Filia- le Genf) informiert, dass ohne entgegenstehende, bis 26. Juli 2013 erfolgende richter- liche Anordnung Zahlungen geleistet würden. Die Klägerinnen haben die besondere zeitliche Dringlichkeit selber zu verantworten. Wäre das Gesuch rechtzeitig eingereicht worden, hätte eine Anhörung der Beklagten erfolgen können und wären auch die Gerichtskosten sichergestellt gewesen. Von daher kommt ein sehr kurzfristiger Entscheid über das Dringlichkeitsbegehren nicht in Frage, zumal das Aktenstudium ein paar Stunden beanspruchen wird. Viel- mehr sind zuerst die Kosten sicherzustellen. Die Klägerinnen beziffern den Streitwert mit CHF 30'000 übersteigend. Da es aber um eine Zahlung von über CHF 20 Mio. geht, ist von einem Streitwert in dieser Höhe auszugehen.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