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HE130192 vom 31. Juli 2013</w:t>
      </w:r>
    </w:p>
    <w:p>
      <w:r>
        <w:t>Zh Handelsgericht, 2013-07-31, DE</w:t>
      </w:r>
    </w:p>
    <w:p>
      <w:r>
        <w:rPr>
          <w:b/>
        </w:rPr>
        <w:t xml:space="preserve">Quelle: </w:t>
      </w:r>
      <w:r>
        <w:t>https://mcp.opencaselaw.ch/entscheid/zh_handelsgericht_HE130192</w:t>
      </w:r>
    </w:p>
    <w:p>
      <w:r>
        <w:t>FR: ZH_HANDELSGERICHT HE130192 du 31 juillet 2013</w:t>
      </w:r>
    </w:p>
    <w:p>
      <w:r>
        <w:t>IT: ZH_HANDELSGERICHT HE130192 del 31 luglio 2013</w:t>
      </w:r>
    </w:p>
    <w:p>
      <w:pPr>
        <w:pStyle w:val="Heading2"/>
      </w:pPr>
      <w:r>
        <w:t>Erwägungen</w:t>
      </w:r>
    </w:p>
    <w:p>
      <w:r>
        <w:rPr>
          <w:b/>
        </w:rPr>
        <w:t>E. 4</w:t>
      </w:r>
    </w:p>
    <w:p>
      <w:r>
        <w:t>Ausweisungsbefehl Das Gericht gewährt Rechtsschutz im summarischen Verfahren, wenn der Sach- verhalt unbestritten oder sofort beweisbar und die Rechtslage klar ist (Art. 257 Abs. 1 ZPO). Das Mietverhältnis zwischen den Parteien wurde gemäss unbestrit- ten gebliebener Darstellung der Klägerin per 30. November 2012 beendet. Nach abgelaufenem Mietverhältnis muss der Mieter die Sache gemäss Art. 267 OR dem Vermieter zurückgeben. Die Beklagte hat das Mietobjekt bisher nicht ge- räumt. Sie hat damit ihre Rückgabepflicht verletzt. Der Fall ist liquid und damit ein Anspruch nach Art. 257 ZPO gegeben. Zur Durchsetzung des Rückgabean- spruchs bei Wohn- und Geschäftsräumen kann der Vermieter die Ausweisung des Mieters beantragen (SVIT-Kommentar Mietrecht, 3. Aufl. 2008, N 15 zu Art. 267-267aOR). Die Beklagte hält sich ohne Rechtsgrund im Mietobjekt auf, wes- halb der Ausweisungsbefehl zu erteilen ist. Antragsgemäss ist daher der Beklag- ten zu befehlen, das Mietobjekt (Lagerraum im 1. OG und Parkplätze Nr. … + …)</w:t>
      </w:r>
    </w:p>
    <w:p>
      <w:r>
        <w:t>- 4 - an der C._____-Strasse ... in D._____ unverzüglich zu räumen und der Klägerin ordnungsgemäss und gereinigt zu übergegeben. Mit der Ausweisungsklage kann der Vermieter Vollstreckungsmassnahmen, d.h. einen Ausweisungsbefehl, verlangen (Art. 236 Abs. 3 ZPO und Art. 337 Abs. 1 ZPO; HEINRICH, in: Handkommentar zum Schweizer Privatrecht, 2. Aufl. 2012, N 4 zu Art. 267-267a OR). Die Klägerin ersucht in ihrem Antrag nicht ausdrücklich um Vollstreckungsmassnahmen, doch beantragt sie die Ausstellung eines Auswei- sungsbefehls (act. 1 S. 1), welcher die Anordnung von Vollstreckungsmassnah- men beinhaltet. Dementsprechend ist das Gemeindeammannamt E._____ anzu- weisen, den Ausweisungsbefehl nach Eintritt der Rechtskraft auf Verlangen der Klägerin zu vollstrecken, wobei die Kosten der Vollstreckung von der Klägerin vorzuschiessen, ihr aber von der Beklagten zu ersetzen sind.</w:t>
      </w:r>
    </w:p>
    <w:p>
      <w:r>
        <w:rPr>
          <w:b/>
        </w:rPr>
        <w:t>E. 5</w:t>
      </w:r>
    </w:p>
    <w:p>
      <w:r>
        <w:t>Kosten- und Entschädigungsfolgen Bei diesem Ausgang des Verfahrens wird die Beklagte kosten- und entschädi- gungspflichtig (Art. 106 ZPO). Im Ausweisungsverfahren bemisst sich der Streitwert nach der Summe der Brut- tomietzinse im Zeitraum ab der Stellung des Ausweisungsbegehrens bis zum nächstmöglichen Termin, auf den der Vermieter das Mietverhältnis ordentlich auf- lösen könnte, wobei die dreijährige Sperrfrist gemäss Art. 271a Abs. 1 lit. e OR miteinzurechnen ist (Urteil des Bundesgerichts 4C.418/2005 vom 14. März 2006, E.2.2, mit Hinweisen; ZR 103 [2004] Nr. 61 S. 245 ff., E.1.a i.V.m. E.3.2.c; SVIT- Kommentar Mietrecht, 3. Aufl. 2008, N 31 zu Art. 274f OR). Das Ausweisungsbe- gehren wurde am 18. Juni 2013 gestellt. Der nächst mögliche Termin, auf den das Mietverhältnis gemäss Vertrag frühestens ordentlich beendet werden könnte, ist der 28. Februar 2017 (act. 2/1 S. 4). Der Streitwert beträgt somit CHF 31'672.75 (44 Monate und 12 Tage à CHF 713.35/Monat). Der Klägerin ist keine Parteientschädigung zuzusprechen, da sie weder berufs- mässig vertreten ist, noch ein begründeter Fall im Sinne von Art. 95 Abs. 3 lit. c</w:t>
      </w:r>
    </w:p>
    <w:p>
      <w:r>
        <w:t>- 5 - ZPO vorliegt (vgl. Urteil des Bundesgerichts 5D_229/2011 vom 16. April 2012, E.3.3).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