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HE120520 vom 8. Februar 2013</w:t>
      </w:r>
    </w:p>
    <w:p>
      <w:r>
        <w:t>Zh Handelsgericht, 2013-02-08, DE</w:t>
      </w:r>
    </w:p>
    <w:p>
      <w:r>
        <w:rPr>
          <w:b/>
        </w:rPr>
        <w:t xml:space="preserve">Quelle: </w:t>
      </w:r>
      <w:r>
        <w:t>https://mcp.opencaselaw.ch/entscheid/zh_handelsgericht_HE120520</w:t>
      </w:r>
    </w:p>
    <w:p>
      <w:r>
        <w:t>FR: ZH_HANDELSGERICHT HE120520 du 8 février 2013</w:t>
      </w:r>
    </w:p>
    <w:p>
      <w:r>
        <w:t>IT: ZH_HANDELSGERICHT HE120520 del 8 febbraio 2013</w:t>
      </w:r>
    </w:p>
    <w:p>
      <w:pPr>
        <w:pStyle w:val="Heading2"/>
      </w:pPr>
      <w:r>
        <w:t>Erwägungen</w:t>
      </w:r>
    </w:p>
    <w:p>
      <w:r>
        <w:rPr>
          <w:b/>
        </w:rPr>
        <w:t>E. 2</w:t>
      </w:r>
    </w:p>
    <w:p>
      <w:r>
        <w:t>Die Anweisung sei superprovisorisch, d.h. sofort nach Eingang des Gesuchs ohne Anhörung der Gegenpartei, zu verfügen und dem Grundbuchamt C._____ unverzüglich mitzuteilen.</w:t>
      </w:r>
    </w:p>
    <w:p>
      <w:r>
        <w:rPr>
          <w:b/>
        </w:rPr>
        <w:t>E. 3</w:t>
      </w:r>
    </w:p>
    <w:p>
      <w:r>
        <w:t>Die Gerichtsgebühr beträgt CHF 15'000.--.</w:t>
      </w:r>
    </w:p>
    <w:p>
      <w:r>
        <w:rPr>
          <w:b/>
        </w:rPr>
        <w:t>E. 4</w:t>
      </w:r>
    </w:p>
    <w:p>
      <w:r>
        <w:t>Die Kosten werden von der Klägerin bezogen. Vorbehalten bleibt der end- gültige Entscheid des Gerichts im ordentlichen Verfahren. Für den Fall, dass die Klägerin innert Frist gemäss Dispositiv-Ziffer 2 die Klage nicht anhängig macht, wird ihr die Entscheidgebühr definitiv auferlegt.</w:t>
      </w:r>
    </w:p>
    <w:p>
      <w:r>
        <w:rPr>
          <w:b/>
        </w:rPr>
        <w:t>E. 5</w:t>
      </w:r>
    </w:p>
    <w:p>
      <w:r>
        <w:t>Die Regelung der Entschädigungsfolgen wird dem Gericht im ordentlichen Verfahren vorbehalten.</w:t>
      </w:r>
    </w:p>
    <w:p>
      <w:r>
        <w:rPr>
          <w:b/>
        </w:rPr>
        <w:t>E. 6</w:t>
      </w:r>
    </w:p>
    <w:p>
      <w:r>
        <w:t>Schriftliche Mitteilung an die Parteien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w:t>
      </w:r>
    </w:p>
    <w:p>
      <w:r>
        <w:t>- 5 - schwerde richten sich nach Art. 72 ff. (Beschwerde in Zivilsachen) oder Art. 113 ff. (subsidiäre Verfassungsbeschwerde) in Verbindung mit Art. 42 und 90 ff. des Bundesgesetzes über das Bundesgericht (BGG). Der Streit- wert beträgt CHF 11'737'139.81. Zürich, 8. Februar 2013 HANDELSGERICHT DES KANTONS ZÜRICH Der Gerichtsschreiber: lic. iur. Roger Büchi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