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HE120114 vom 2. April 2012</w:t>
      </w:r>
    </w:p>
    <w:p>
      <w:r>
        <w:t>Zh Handelsgericht, 2012-04-02, DE</w:t>
      </w:r>
    </w:p>
    <w:p>
      <w:r>
        <w:rPr>
          <w:b/>
        </w:rPr>
        <w:t xml:space="preserve">Quelle: </w:t>
      </w:r>
      <w:r>
        <w:t>https://mcp.opencaselaw.ch/entscheid/zh_handelsgericht_HE120114</w:t>
      </w:r>
    </w:p>
    <w:p>
      <w:r>
        <w:t>FR: ZH_HANDELSGERICHT HE120114 du 2 avril 2012</w:t>
      </w:r>
    </w:p>
    <w:p>
      <w:r>
        <w:t>IT: ZH_HANDELSGERICHT HE120114 del 2 aprile 2012</w:t>
      </w:r>
    </w:p>
    <w:p>
      <w:pPr>
        <w:pStyle w:val="Heading2"/>
      </w:pPr>
      <w:r>
        <w:t>Erwägungen</w:t>
      </w:r>
    </w:p>
    <w:p>
      <w:r>
        <w:rPr>
          <w:b/>
        </w:rPr>
        <w:t>E. 12</w:t>
      </w:r>
    </w:p>
    <w:p>
      <w:r>
        <w:t>März 2012 geschuldet ist, da die Beklagte keine Parteientschädigung verlangt, unter Hinweis auf Art. 961 Abs. 3 ZGB, erkennt das Einzelgericht: 1. Die einstweilige Anweisung an das Grundbuchamt D._____ wird bestätigt als vorläufige Eintragung im Sinne von Art. 961 ZGB mit Wirkung ab vorläu- figer Eintragung gemäss Verfügung vom 14. März 2012 bis zur rechtskräfti- gen Erledigung des gemäss Dispositiv-Ziffer 2 einzuleitenden Prozesses auf Liegenschaft Kat. Nr. …, GBBl. …,… Strasse … C._____,für eine Pfandsumme von Fr. 31'490.10 nebst Zins zu 5 % seit 12. März 2012 bis 11. März 2016. 2. Der Klägerin wird eine Frist von 60 Tagen ab Zustellung dieses Urteils an- gesetzt, um direkt beim zuständigen Gericht eine Klage auf Feststellung der Forderung als Pfandsumme und definitive Eintragung des Pfandrechts ge- gen die Beklagte anzuheben. Bei Säumnis kann die Beklagte beim Han- delsgericht Zürich den vorläufigen Eintrag (Dispositiv-Ziffer 1) löschen las- sen. 3. Die Entscheidgebühr von Fr. 1'000.– wird von der Klägerin bezogen. Vorbe- halten bleibt der endgültige Entscheid des Gerichts im ordentlichen Verfah- ren. Für den Fall, dass die Klägerin innert Frist gemäss Dispositiv-Ziffer 2 die Klage nicht anhängig macht, wird ihr die Entscheidgebühr definitiv auferlegt.</w:t>
      </w:r>
    </w:p>
    <w:p>
      <w:r>
        <w:t>- 4 - 4. Die Regelung der Entschädigungsfolgen wird dem Gericht im ordentlichen Verfahren vorbehalten. 5. Schriftliche Mitteilung an die Parteien sowie an das Grundbuchamt D._____, je gegen Empfangsbestätigung.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 gesetzlichen Fristenstillstände gelten nicht (Art. 46 Abs. 2 BGG). Zürich, 2. April 2012 HANDELSGERICHT DES KANTONS ZÜRICH Einzelgericht Der Gerichtsschreiber: lic.iur. Christian Fischbacher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