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VR180002 vom 15. Januar 2018</w:t>
      </w:r>
    </w:p>
    <w:p>
      <w:r>
        <w:t>Zh Gerichte, 2018-01-15, DE</w:t>
      </w:r>
    </w:p>
    <w:p>
      <w:r>
        <w:rPr>
          <w:b/>
        </w:rPr>
        <w:t xml:space="preserve">Quelle: </w:t>
      </w:r>
      <w:r>
        <w:t>https://mcp.opencaselaw.ch/entscheid/zh_gerichte_VR180002</w:t>
      </w:r>
    </w:p>
    <w:p>
      <w:r>
        <w:t>FR: ZH_GERICHTE VR180002 du 15 janvier 2018</w:t>
      </w:r>
    </w:p>
    <w:p>
      <w:r>
        <w:t>IT: ZH_GERICHTE VR180002 del 15 gennaio 2018</w:t>
      </w:r>
    </w:p>
    <w:p>
      <w:pPr>
        <w:pStyle w:val="Heading2"/>
      </w:pPr>
      <w:r>
        <w:t>Regeste</w:t>
      </w:r>
    </w:p>
    <w:p>
      <w:r>
        <w:t>Rekurs gegen den Beschluss der Fachgruppe Dolmetscherwesen (KA170058-O) vom 15. Januar 2018</w:t>
      </w:r>
    </w:p>
    <w:p>
      <w:pPr>
        <w:pStyle w:val="Heading2"/>
      </w:pPr>
      <w:r>
        <w:t>Erwägungen</w:t>
      </w:r>
    </w:p>
    <w:p>
      <w:r>
        <w:rPr>
          <w:b/>
        </w:rPr>
        <w:t>E. 15</w:t>
      </w:r>
    </w:p>
    <w:p>
      <w:r>
        <w:t>November 2004 sei in anderem Kontext ergangen und bestätige zudem, dass die Wirtschaftsfreiheit die Befugnis umfasse, als privatwirtschaftlich Erwerbstätiger seine Dienste dem Staat anzubieten, was zwingend eine Aufnahme im Dolmetscherverzeichnis voraussetze (act. 11 S. 4). Dieser Ar- gumentation kann nicht gefolgt werden. Zutreffend ist zwar, dass das Bun- desgericht im besagten Entscheid festhielt, die Wirtschaftsfreiheit umfasse die Befugnis, als privatwirtschaftlich Erwerbstätiger seine Dienste dem Staat anzubieten (Urteil des Bundesgerichts 1P.58/2004 vom 15. November 2004, E. 2.1). Dolmetscher treten gegenüber dem Staat jedoch gerade nicht als privatwirtschaftliche Erwerbstätige auf, wenn sie für diese Einsätze vorneh-</w:t>
      </w:r>
    </w:p>
    <w:p>
      <w:r>
        <w:t>- 11 - men. Vielmehr erfolgen ihre Tätigkeiten im Justizwesen in Erfüllung einer öf- fentlichen Aufgabe. Das Bundesgericht hielt denn im besagten Urteil auch fest, das Verhältnis zwischen dem Staat und den Dolmetschern bzw. Über- setzern sei öffentlich-rechtlich und unterstehe - vergleichbar der öffentlich- rechtlichen Anstellung von staatlichen Bediensteten - von vornherein nicht der Wirtschaftsfreiheit (E. 2.2.). Daran bestehen auch in Anlehnung an § 16 DolmV keine Zweifel. Durch die Eintragung im Dolmetscherverzeichnis wird sodann bestätigt, dass die in der Dolmetscherverordnung vorgesehene not- wendige Prüfung der persönlichen und fachlichen Voraussetzungen erfolgt ist. Würde allein die Wirtschaftsfreiheit zu einer Eintragung im Verzeichnis berechtigen, ohne dass die Erfordernisse gemäss Verordnung überprüft werden könnten, würde das Institut des Dolmetscherverzeichnisses seines Sinnes entleert. Es würde nicht mehr garantieren, dass die Dolmetschenden die Anforderungen gemäss Dolmetscherverordnung erfüllen würden. Soweit die Rekurrentin ferner darauf hinweist, die Nichteintragung ins Dolmetscher- verzeichnis schliesse sie nicht nur von staatlichen Dolmetscheraufträgen aus, sondern auch von im Auftrag von Rechtanwälten vorgenommenen Dolmetschertätigkeiten, z.B. von Begleitungen zu Gefängnisbesuchen (act. 11 S. 5), so verkennt sie, dass diese Praxis - auch wenn sie allenfalls inhaltlich nicht zu überzeugen vermag bzw. selbst wenn es hierfür an einer gesetzlichen Grundlage fehlen würde - nicht dazu führen darf, dass die Re- kurrentin ohne Erfüllung der massgeblichen Voraussetzungen gemäss Dol- metscherverordnung einen Anspruch auf Eintragung ins Dolmetscherver- zeichnis hat. 6.1. Zu prüfen bleibt ferner, ob die Zutrauenswürdigkeit der Rekurrentin im Sinne von § 10 Abs. 2 DolmV im jetzigen Zeitpunkt bejaht werden kann oder ob diese - angesichts der Vorfälle in der Vergangenheit - noch nicht gegeben ist. Das Bundesgericht hielt in seinem Urteil vom 31. März 2015 diesbezüg- lich fest, eine erneute Eintragung ins Dolmetscherverzeichnis sei nach einer längeren Zeit der Bewährung nicht ausgeschlossen (act. 9/6/45 E. 4.5). Die Rekurrentin geht davon aus, dass eine längere Dauer der Bewährung ver-</w:t>
      </w:r>
    </w:p>
    <w:p>
      <w:r>
        <w:t>- 12 - strichen sei und beanstandet die Erwägungen der Rekursgegnerin zur Be- währungsfrist (act. 1 Rz 11). 6.2. Im Gegensatz zu anderen Erlassen enthält die Dolmetscherverordnung des Kantons Zürich keine Bestimmung dazu, wie lange die Sperrung einer aus Gründen der fehlenden Vertrauenswürdigkeit aus dem Dolmetscherver- zeichnis gelöschten Person minimal dauern soll. Hingegen enthält zum Bei- spiel § 8 des zürcherischen Anwaltsgesetzes (LS 215.1) eine entsprechende Regelung, indem er vorsieht, dass das Anwaltspatent nach dessen Entzug infolge Zutrauensunwürdigkeit frühestens nach fünf Jahren wieder erteilt werden kann. § 45 Abs. 2 der kantonalen Notariatsprüfungsverordnung (LS 242.1) zufolge kann ein Gesuch um Wiedererteilung des Fähigkeitsaus- weises bzw. des Wahlfähigkeitszeugnisses nach einem Entzug infolge schlechten Leumunds oder Verlustes der Zutrauenswürdigkeit sodann frü- hestens zehn Jahre, in Ausnahmefällen fünf Jahre nach der Rechtskraft des Entzuges, gestellt werden. Im Bundesgesetz über die Freizügigkeit der An- wältinnen und Anwälte (SR 935.61) ist in Art. 17 Abs. 1 sodann ein befriste- tes Berufsausübungsverbot für längstens zwei Jahre bzw. alternativ ein dauerndes Berufsausübungsverbot vorgesehen. Für Betreibungsbeamte sieht das Einführungsgesetz zum Schuldbetreibungs- und Konkursrecht des Kantons Zürich (LS 281) in § 11 zwar die Möglichkeit des Entzugs des Wahl- fähigkeitsausweises vor, jedoch enthält es - wie die Dolmetscherverordnung - keine Sperrfrist. Gleichermassen berechtigt § 18 Abs. 1 lit. d der Verord- nung über psychiatrische und psychologische Gutachten in Straf- und Zivil- verfahren (PPGV, LS 321.4) zur Löschung von Sachverständigen, welche die Eintragungsvoraussetzungen nicht mehr erfüllen, ohne sich zu einer all- fälligen Wiedereintragung bzw. einer entsprechenden Bewährungsfrist zu äussern. 6.3. Aus denjenigen gesetzlichen Bestimmungen des Kantons Zürich, welche sich zur Möglichkeit einer Wiedereintragung in ein Verzeichnis äussern, geht hervor, dass eine solche nach dem Aussprechen eines (unbefristeten) Be- rufsausübungsverbots infolge fehlender Zutrauens- bzw. Vertrauenswürdig-</w:t>
      </w:r>
    </w:p>
    <w:p>
      <w:r>
        <w:t>- 13 - keit in aller Regel frühestens rund fünf Jahre nach dem Entzug möglich ist. Ob diese Zeitspanne als Leitlinie auf die Dolmetscherverordnung übernom- men werden kann, ist indes fraglich. Denn ausgehend davon, dass sich der Gesetz- bzw. Verordnungsgeber bewusst für - oder eben auch gegen - eine Minimalsperrfrist ausgesprochen hat, ist anzunehmen, dass eine solche nicht automatisch auf Fälle, für welche keine Minimalfrist vorgesehen ist, mithin auf die keine entsprechende Frist enthaltende Dolmetscherverord- nung, übertragen werden kann. Eine analoge Anwendung der in anderen Er- lassen vorgesehenen Fünfjahresfrist erscheint unter diesen Umständen als nicht sachgerecht. Vielmehr kommt grundsätzlich auch eine kürzere Bewäh- rungsfrist in Frage. So ist denn eine Fünfjahresfrist auch nicht zwingender Standard, wie Beispiele aus anderen Kantonen zeigen. Im Kanton Bern ist eine Wiedereintragung eines Notars nach einer disziplinarischen Löschung beispielsweise vor Ablauf von drei Jahren ausgeschlossen (Art. 47 Abs. 5 des bernischen Notariatsgesetzes, 169.11), ebenso im Kanton Aargau (Art. 39 Abs. 4 des Beurkundungs- und Beglaubigungsgesetzes, 195.200). Massgeblich bei der Prüfung der Wiedereintragungsfrage ist somit nicht eine Mindestsperrfrist, sondern sind vielmehr die konkreten Umstände des Ein- zelfalls, namentlich die Schwere der Pflichtverletzungen, das Verhalten der betreffenden Person nach den für die Löschung massgeblichen Vorfällen bzw. Ereignissen, mithin ihr aktueller Leumund, welcher sich erheblich und dauernd zugunsten des bzw. der Dolmetschenden verändert haben muss, sowie die Erfüllung der weiteren Eintragungskriterien. 6.4. Die Rekurrentin wurde am 21. April 2015 aus dem Dolmetscherverzeichnis des Kantons Zürich gelöscht (act. 5 S. 2), nachdem das Bundesgericht die Löschung mit Urteil vom 31. März 2015 letztinstanzlich bestätigt hatte (act. 9/6/45). Die Löschung erfolgte damit vor rund dreieinhalb Jahren. Vor- genommen wurde sie aufgrund von verschiedenen Verfehlungen der Rekur- rentin, namentlich aufgrund ihres unkooperativen Verhaltens anlässlich einer polizeilichen Kontrolle am 14. Februar 2013 sowie wegen ihres unkritischen Umgangs mit ihrem Umfeld (Kontakt zu einer Person, welcher zahlreiche kleinkriminelle Handlungen nachgewiesen werden konnten) bzw. ihres un-</w:t>
      </w:r>
    </w:p>
    <w:p>
      <w:r>
        <w:t>- 14 - professionellen Umgangs mit Gerichtsakten (vgl. act. 9/6/33 E. III.6.1; act. 9/6/45, E. 4.5). 6.5. In den vergangenen Jahren hat sich die Rekurrentin gemäss dem ins Recht gereichten Strafregisterauszug in strafrechtlicher Hinsicht nichts zu schulden kommen lassen (act. 4/3). Auch wurden gegen sie keine Betreibungen ein- geleitet oder Verlustscheine ausgestellt (act. 4/4). Ihrem Lebenslauf kann sodann entnommen werden, dass sie in den Kantonen Aargau, Schaffhau- sen, Thurgau, Zug, Bern, Genf sowie bei der Schweizerischen Bundesan- waltschaft und dem Bundesstrafgericht seit Jahren als Gerichts- und Behör- dendolmetscherin akkreditiert ist. Aus den eingereichten Aktenstücken ergibt sich somit nichts, was den aktuellen Leumund der Rekurrentin trüben würde. Jedoch bedarf es zu dessen abschliessenden Klärung entsprechend den Ausführungen der Rekursgegnerin (act. 7 E. 4 S. 5) der Einholung eines po- lizeilichen Informationsberichts im Sinne von § 9 Abs. 3 DolmV, zumal sich erst aus einem solchen ein endgültiges Bild über den Leumund der vergan- genen Jahre ergibt. Im Weiteren erweist es sich allenfalls als sinnvoll, die Rekurrentin aufzufordern, Leumundszeugnisse derjenigen kantonalen Dol- metscherstellen bzw. jener des Bundes, für welche die Rekurrentin in den vergangenen Jahren tätig war, einzuholen. Dies wird im Rahmen der Abklä- rungen zum Leumund zu prüfen sein. 7. In der Rekursschrift lässt die Rekurrentin für alle Fälle mit Ausnahme jenes der vollumfänglichen Gutheissung des Rekurses, d.h. ihrer umgehenden Wiedereintragung im Dolmetscherverzeichnis, den prozessualen Antrag der Durchführung einer öffentlichen Verhandlung beantragen, wobei sie sich hierfür auf Art. 6 EMRK, das Recht, dass über Streitigkeiten mit Bezug auf zivilrechtliche Ansprüche in einer öffentlichen Verhandlung entschieden wird, stützt (act. 1 Antrag 2 und act. 1 Rz 15). Zwar besteht ein entsprechender Anspruch auf eine öffentliche Verhandlung im Sinne von Art. 6 EMRK immer dann, wenn eine solche nicht bereits vor erster Instanz durchgeführt wurde (Frowein/Peukert, Europäische Menschenrechtskonvention, 3. Auflage, Kehl am Rhein 2009, Art. 6 N 195; EMRK Handkommentar-Meyer-Ladewig, Art. 6</w:t>
      </w:r>
    </w:p>
    <w:p>
      <w:r>
        <w:t>- 15 - N 66; Entscheid des Bundesgerichts 2C_765/2014 vom 31. März 2015, E. 3.1.2). Von der Durchführung einer öffentlichen Verhandlung im Rahmen des vorliegenden Verfahrens ist jedoch abzusehen, da eine solche im jetzi- gen Zeitpunkt nicht sachgerecht erscheint. Zum einen stehen noch weitere Abklärungen aus, welche durch die Rekursgegnerin als Prüfungsbehörde vorgenommen werden sollten, insbesondere Abklärungen, welche über die Frage der Zutrauenswürdigkeit der Rekurrentin hinausgehen (vgl. § 10 DolmV). Zum anderen würde die Rekurrentin für den Fall, dass die Verwal- tungskommission nach Abklärung der Sachlage zum Schluss käme, sie nicht mehr ins Dolmetscherverzeichnis einzutragen, einer Instanz verlustig gehen. Unter diesen Umständen erscheint es angebracht, die notwendigen Abklärungen hinsichtlich des Kriteriums der Zutrauenswürdigkeit der Rekur- rentin sowie hinsichtlich der weiteren massgeblichen Voraussetzungen für die Eintragung ins Dolmetscherverzeichnis durch die Rekursgegnerin vor- nehmen zu lassen, wobei sie auch eine Anhörung der Rekurrentin zu prüfen hat. 8. Soweit die Rekursgegnerin um Rückweisung des Verfahrens zur Überprü- fung der fachlichen Eignung der Rekurrentin ersucht (act. 7 E. 4 S. 5), so ist festzuhalten, dass diese in der Vergangenheit - mit Ausnahme eines Dol- metschereinsatzes in der Sprache Englisch, welche vorliegend aber nicht zur Diskussion steht (act. 9/6/5) - nie Thema war bzw. zu keinem Zeitpunkt beanstandet wurde. Die Rekurrentin hat denn - wie dargelegt - an der Uni- versität Zürich auch ein Jurastudium absolviert und über Jahre hinweg als Gerichtsdolmetscherin gearbeitet (act. 9/6/4/4/2, act. 4/2). Zudem musste sie im Jahre 2006 den Basiskurs Behörden- und Gerichtsdolmetschen besu- chen, anlässlich welchem ihre Fachkompetenzen in den Bereichen "Recht" und "Dolmetschen" getestet wurden. Inwiefern die erfolgte Löschung der Rekurrentin aus dem Dolmetscherverzeichnis des Kantons Zürich ihre fach- liche Eignung in Frage stellen könnte, ist nicht ersichtlich, zumal sie in der Zwischenzeit in anderen Kantonen und als selbständige Übersetzerin wei- terhin als Dolmetscherin arbeiten konnte (act. 4/2). Ihre fachliche Eignung in der Sprache Französisch wurde in der Vergangenheit denn auch schon be-</w:t>
      </w:r>
    </w:p>
    <w:p>
      <w:r>
        <w:t>- 16 - sonders hervorgehoben (act. 9/6/4/19). Eine Überprüfung der fachlichen Eignung mittels Eignungstests im Sinne von § 9 Abs. 3 DolmV mag zwar daher als Eintragungsvoraussetzung allenfalls notwendig sein (vgl. Merkblatt betr. "Antrag auf Aufnahme ins Dolmetscherverzeichnis", online abrufbar über http://www.gerichte-zh.ch/fileadmin/user_upload/Dokumente/ oberge- richt/Dolmetscherwesen/Aufnahme-Antrag_Januar_2016.pdf), aufgrund der Vorgeschichte ist aber davon auszugehen, dass sie wohl kaum einen Dis- kussionspunkt darstellen wird. 9. Ausgangsgemäss ist demnach dem Eventualantrag der Rekursgegnerin zu folgen und sind die beiden Begehren der Rekurrentin sowie der Hauptantrag der Rekursgegnerin abzuweisen. In Gutheissung des Eventualbegehrens der Rekursgegnerin ist ihr Beschluss vom 15. Januar 2018, Nr. KA170058- O, daher aufzuheben und ist die Angelegenheit zur Vornahme der ober- wähnten Abklärungen an die Rekursgegnerin zurückzuweisen.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