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SF240009 vom 17. Juli 2024</w:t>
      </w:r>
    </w:p>
    <w:p>
      <w:r>
        <w:t>Zh Gerichte, 2024-07-17, DE</w:t>
      </w:r>
    </w:p>
    <w:p>
      <w:r>
        <w:rPr>
          <w:b/>
        </w:rPr>
        <w:t xml:space="preserve">Quelle: </w:t>
      </w:r>
      <w:r>
        <w:t>https://mcp.opencaselaw.ch/entscheid/zh_gerichte_SF240009</w:t>
      </w:r>
    </w:p>
    <w:p>
      <w:r>
        <w:t>FR: ZH_GERICHTE SF240009 du 17 juillet 2024</w:t>
      </w:r>
    </w:p>
    <w:p>
      <w:r>
        <w:t>IT: ZH_GERICHTE SF240009 del 17 luglio 2024</w:t>
      </w:r>
    </w:p>
    <w:p>
      <w:pPr>
        <w:pStyle w:val="Heading2"/>
      </w:pPr>
      <w:r>
        <w:t>Regeste</w:t>
      </w:r>
    </w:p>
    <w:p>
      <w:r>
        <w:t>Berufung gegen eine Verfügung und Beschluss des Obergerichts des Kantons Zürich, III. Strafkammer, vom 17. Juli 2024 (UA240017)</w:t>
      </w:r>
    </w:p>
    <w:p>
      <w:pPr>
        <w:pStyle w:val="Heading2"/>
      </w:pPr>
      <w:r>
        <w:t>Erwägungen</w:t>
      </w:r>
    </w:p>
    <w:p>
      <w:r>
        <w:rPr>
          <w:b/>
        </w:rPr>
        <w:t>E. 16</w:t>
      </w:r>
    </w:p>
    <w:p>
      <w:r>
        <w:t>Dezember 2024 auf das Ausstandsgesuch der Gesuchstellerin nicht ein (Urk. 19A).</w:t>
      </w:r>
    </w:p>
    <w:p>
      <w:r>
        <w:t>- 3 - 2. Die Berufung ist zulässig gegen Urteile erstinstanzlicher Gerichte, mit denen das Verfahren ganz oder teilweise abgeschlossen worden ist, sowie gegen selb- ständige nachträgliche Entscheide des Gerichts und gegen selbständige Einzie- hungsentscheide (Art. 398 Abs. 1 StPO). Über ein Ausstandsgesuch im Sinne von Art. 56 ff. StPO entscheidet die Beschwerdeinstanz, wenn die Staatsanwaltschaft betroffen ist (Art. 59 Abs. 1 lit. b StPO). Beim angefochten Entscheid der III. Straf- kammer handelt es sich um einen selbständig anfechtbaren, kantonal letztinstanz- lichen Zwischenentscheid der Beschwerdeinstanz über den Ausstand eines Staats- anwalts. Dagegen steht die Beschwerde in Strafsachen an das Bundesgericht offen (Art. 78 ff. und Art. 92 Abs. 1 BGG; vgl. Urteil des Bundesgerichts 7B_174/2022 vom 23. Oktober 2023 E. 2.2.; BSK StPO-BOOG, Art. 59 StPO N 13). 3. Mangels gültigem Anfechtungsobjekt bzw. Zuständigkeit des Berufungs- gerichts für das Rechtsmittel der Gesuchstellerin ist demzufolge in Anwendung von Art. 403 Abs. 1 lit. b und c StPO auf ihre Berufung nicht einzutreten. 4. Mit Eingabe vom 6. Dezember 2024 hat die Gesuchstellerin erneut ein Ausstandsgesuch gegen Staatsanwalt lic. iur. B._____ gestellt (Urk. 18). Das ent- sprechende Ausstandsverfahren ist bereits bei der III. Strafkammer unter der Geschäfts-Nr. UA240043-O pendent (Urk. 20 und 22), weshalb darauf verzichtet werden kann, das Ausstandsgesuch an die zuständige Behörde weiterzuleiten. So- weit die Gesuchstellerin die Ansicht vertritt, die I. und III. Strafkammer sowie das Bundesgericht könnten sich nach Art. 102 StGB strafbar gemacht haben (Urk. 18), ist sie darauf hinzuweisen, dass staatliche Justizbehörden nicht Adressaten von Art. 102 StGB sind (vgl. Art. 102 Abs. 4 StGB) und sie sich im Übrigen an die Staats- anwaltschaft zu wenden hätte. 5. Die Kosten des Rechtsmittelverfahrens tragen die Parteien nach Massgabe ihres Obsiegens und Unterliegens. Als unterliegend gilt auch die Partei, auf deren Rechtsmittel nicht eingetreten wird oder die das Rechtsmittel zurückzieht (Art. 428 Abs. 1 StPO). Der Gesuchstellerin sind somit die Kosten für das vorliegende Verfahren aufzuerlegen. Die Gerichtsgebühr ist praxisgemäss auf Fr. 500.– festzu- setzen.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