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SB210442 vom 1. Januar 2001</w:t>
      </w:r>
    </w:p>
    <w:p>
      <w:r>
        <w:t>Zh Gerichte, 2001-01-01, DE</w:t>
      </w:r>
    </w:p>
    <w:p>
      <w:r>
        <w:rPr>
          <w:b/>
        </w:rPr>
        <w:t xml:space="preserve">Quelle: </w:t>
      </w:r>
      <w:r>
        <w:t>https://mcp.opencaselaw.ch/entscheid/zh_gerichte_SB210442</w:t>
      </w:r>
    </w:p>
    <w:p>
      <w:r>
        <w:t>FR: ZH_GERICHTE SB210442 du 1 janvier 2001</w:t>
      </w:r>
    </w:p>
    <w:p>
      <w:r>
        <w:t>IT: ZH_GERICHTE SB210442 del 1 gennaio 2001</w:t>
      </w:r>
    </w:p>
    <w:p>
      <w:pPr>
        <w:pStyle w:val="Heading2"/>
      </w:pPr>
      <w:r>
        <w:t>Regeste</w:t>
      </w:r>
    </w:p>
    <w:p>
      <w:r>
        <w:t>versuchte schwere Körperverletzung etc. und Widerruf</w:t>
      </w:r>
    </w:p>
    <w:p>
      <w:pPr>
        <w:pStyle w:val="Heading2"/>
      </w:pPr>
      <w:r>
        <w:t>Erwägungen</w:t>
      </w:r>
    </w:p>
    <w:p>
      <w:r>
        <w:rPr>
          <w:b/>
        </w:rPr>
        <w:t>E. 19</w:t>
      </w:r>
    </w:p>
    <w:p>
      <w:r>
        <w:t>Abs. 1 StGB nicht schuldfähig gewesen. Unter Anklageziffer 1.2. machte sie dem Beschuldigten sodann die Vorwürfe der mehrfachen Widerhandlung gegen das Waffengesetz und der mehrfachen Widerhandlung gegen das Sprengstoffge-</w:t>
      </w:r>
    </w:p>
    <w:p>
      <w:r>
        <w:t>- 3 - setz. Sie beantragte schliesslich die Feststellung, dass der Beschuldigte die unter [Anklageziffer] 1.1. aufgeführten Tatbestände in nicht selbstverschuldeter Schuld- unfähigkeit erfüllt habe, und die Schuldigsprechung des Beschuldigten im Sinne der Anklageschrift der unter [Anklageziffer] 1.2. aufgeführten Tatbestände (Urk. 22 S. 2 ff.). Damit stellte die Staatsanwaltschaft im Rahmen der Anklage ei- nen Antrag gemäss dem besonderen Verfahren bei einer schuldunfähigen Person im Sinne von Art. 374 f. StPO. 2.2. Das Bundesgericht hielt in seinem Urteil 6B_360/2020 fest, dass die ver- schiedenen, von der Strafprozessordnung vorgesehenen Verfahren in sich abge- schlossene, selbstständige Verfahrensarten darstellen. Die Strafprozessordnung lässt keine kombinierten, hybriden Verfahren zu. Beim Grundsatz der Formstren- ge bzw. dem numerus clausus der Verfahrensformen gemäss Art. 2 Abs. 2 StPO handelt es sich um einen von allen Strafbehörden zu jeder Zeit zu beachtenden fundamentalen Grundsatz des Strafprozessrechts (Urteil des Bundesgerichts 6B_360/2020 vom 8. Oktober 2020 E.1.3.1 f.). Indem die Staatsanwaltschaft zwar eine Anklage betreffend mehrfache Widerhandlung gegen das Waffengesetz und mehrfache Widerhandlung gegen das Sprengstoffgesetz erhob, gleichzeitig aber bezüglich der versuchten schweren Körperverletzung und des in diesem Fall ver- übten Vergehens gegen das Waffengesetz die Feststellung der Tatbegehung im Zustand der nicht selbstverschuldeten Schuldunfähigkeit und die Anordnung einer Massnahme beantragte, vermischte sie die Verfahrensform des besonderen Mas- snahmeverfahrens im Sinne von Art. 374 f. StPO und diejenige des ordentlichen Verfahrens gemäss Art. 328 ff. StPO, was sich in Nachachtung der zitierten bun- desgerichtlichen Rechtsprechung als nicht zulässig erweist. Dem Bundesge- richtsentscheid ist zwar auch folgende Passage zu entnehmen: "[…] Wird eine Per- son mehrerer Taten beschuldigt, die teilweise mit und teilweise ohne Schuld begangen wurden, sind alle Taten gestützt auf den Grundsatz der Einheit des Verfahrens (Art. 29 Abs. 1 lit. a StPO) in einem Verfahren zu beurteilen, womit ein Vorgehen nach Art. 374 f. StPO nicht möglich und das ordentliche Verfahren gemäss Art. 328 ff. StPO zu beschrei- ten ist (vgl. FELIX BOMMER, a.a.O., N. 13 zu Art. 374 StPO; CHRISTIAN SCHWAR- ZENEGGER, a.a.O., N. 1 zu Art. 374 StPO)." (Urteil des Bundesgerichts 6B_360/2020 vom 8. Oktober 2020 E.1.3.4). Gemäss den vom Bundesgericht in</w:t>
      </w:r>
    </w:p>
    <w:p>
      <w:r>
        <w:t>- 4 - diesem Zusammenhang zitierten Lehrmeinungen ist diese Passage indes wie folgt zu verstehen: Sind zwei oder mehrere Taten zu beurteilen, von denen eine möglicherweise und die anderen sicher nicht ohne Schuld begangen wurden, so sorgt der Grundsatz der Verfahrenseinheit dafür, dass sämtliche Taten in einem, nämlich dem ordentlichen Verfahren zu beurteilen sind. Dies lässt sich ohne Wei- teres mit der bundesgerichtlichen Rechtsprechung in Einklang bringen. Denn nur wenn für die Staatsanwaltschaft zweifelsfrei feststeht, dass der Beschuldigte eine Tat im Zustand der nicht selbstverschuldeten Schuldunfähigkeit begangen hat, darf sie nach Art. 374 f. StPO vorgehen (vgl. Urteil des Bundesgerichts 6B_360/2020 vom 8. Oktober 2020 E.1.3.7). Das Bundesgericht gewichtet den Grundsatz der Formstrenge insgesamt höher als denjenigen der Verfahrensein- heit. So führte es im zitierten Entscheid aus, soweit die Vorinstanz argumentiere, die Staatsanwaltschaft hätte auch einen Antrag und eine Anklage in der gleichen Anklageschrift erheben können, lasse sie den Grundsatz der Formstrenge unbe- rücksichtigt, die Strafprozessordnung lasse die Vermischung des selbstständigen Massnahmeverfahrens und des ordentlichen Verfahrens nicht zu (Urteil des Bun- desgerichts 6B_360/2020 vom 8. Oktober 2020 E.1.4.3). Tatsächlich sind die bei- den Verfahren in Bezug auf die Anwesenheitspflicht der beschuldigten Person und den Öffentlichkeitsgrundsatz auch unterschiedlich ausgestaltet, was auf die Besonderheiten des Verfahrens nach Art. 374 f. StPO zurückzuführen ist. Ge- mäss Art. 374 Abs. 2 lit. a und lit. b StPO kann das erstinstanzliche Gericht mit Rücksicht auf den Gesundheitszustand oder zum Schutz der Persönlichkeit der beschuldigten Person in Abwesenheit der beschuldigten Person verhandeln oder die Öffentlichkeit von den Verhandlungen ausschliessen, während dies im or- dentlichen Verfahren grundsätzlich nicht bzw. nur unter bestimmten Vorausset- zungen möglich ist (vgl. Art. 69 f. StPO und Art. 336 StPO). Nach dem Gesagten erweist sich das von der Staatsanwaltschaft gewählte Vorgehen als nicht zulässig und die Verfahrensformen sind auch vorliegend strikt zu trennen. Unzulässig ist gemäss Bundesgericht demnach auch, dass die Vorinstanz den Beschuldigten in Bezug auf das Vergehen gegen das Waffengesetz nach Anklageziffer 1.1. entge- gen dem Antrag der Staatsanwaltschaft als schuldfähig erachtete und ihn diesbe- züglich schuldig sprach.</w:t>
      </w:r>
    </w:p>
    <w:p>
      <w:r>
        <w:t>- 5 - 3. Aus dem Gesagten folgt, dass bereits die Staatsanwaltschaft unzulässiger- weise zwei Verfahrensformen vermischte und auch die Vorinstanz den Grundsatz der Formstrenge missachtete. Aufgrund dieser Verfahrensfehler ist das Urteil des Bezirksgerichts Winterthur vom 14. April 2021 aufzuheben und das Verfahren zu- sammen mit den Akten an die Staatsanwaltschaft zur Durchführung zwei getrenn- ter Vorverfahren im Sinne der bundesgerichtlichen Rechtsprechung zurückzuwei- sen. 4. Die zweitinstanzliche Gerichtsgebühr fällt ausser Ansatz. Die Kosten des Berufungsverfahrens, inklusive die Kosten der amtlichen Verteidigung, sind auf die Gerichtskasse zu nehmen. Mangels erkennbarer Umtriebe werden keine Ent- 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