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RT210071 vom 19. Mai 2021</w:t>
      </w:r>
    </w:p>
    <w:p>
      <w:r>
        <w:t>Zh Gerichte, 2021-05-19, DE</w:t>
      </w:r>
    </w:p>
    <w:p>
      <w:r>
        <w:rPr>
          <w:b/>
        </w:rPr>
        <w:t xml:space="preserve">Quelle: </w:t>
      </w:r>
      <w:r>
        <w:t>https://mcp.opencaselaw.ch/entscheid/zh_gerichte_RT210071</w:t>
      </w:r>
    </w:p>
    <w:p>
      <w:r>
        <w:t>FR: ZH_GERICHTE RT210071 du 19 mai 2021</w:t>
      </w:r>
    </w:p>
    <w:p>
      <w:r>
        <w:t>IT: ZH_GERICHTE RT210071 del 19 maggio 2021</w:t>
      </w:r>
    </w:p>
    <w:p>
      <w:pPr>
        <w:pStyle w:val="Heading2"/>
      </w:pPr>
      <w:r>
        <w:t>Regeste</w:t>
      </w:r>
    </w:p>
    <w:p>
      <w:r>
        <w:t>Rechtsöffnung</w:t>
      </w:r>
    </w:p>
    <w:p>
      <w:pPr>
        <w:pStyle w:val="Heading2"/>
      </w:pPr>
      <w:r>
        <w:t>Erwägungen</w:t>
      </w:r>
    </w:p>
    <w:p>
      <w:r>
        <w:rPr>
          <w:b/>
        </w:rPr>
        <w:t>E. 9</w:t>
      </w:r>
    </w:p>
    <w:p>
      <w:r>
        <w:t>März 2020 (Urk. 10/3). Inwiefern dieses Schreiben des Gesuchsgegners an C._____ von der Abteilung Planung und Bau der Stadt B._____ bzw. die anschei- nend noch nicht erfolgte Antwort im vorliegenden Rechtsöffnungsverfahren rele- vant sei, lege der Gesuchsgegner jedoch nicht dar. Sämtliche darin erkennbaren Vorbringen wären im Rahmen des damaligen Erkenntnis- bzw. des damals anzu- hebenden Rechtsmittelverfahrens geltend zu machen gewesen – und nicht erst im Rahmen der zwangsvollstreckungsrechtlichen Durchsetzung der Forderung,</w:t>
      </w:r>
    </w:p>
    <w:p>
      <w:r>
        <w:t>- 4 - zumal das Rechtsöffnungsgericht nicht befugt sei, einen (rechtskräftigen) Ent- scheid inhaltlich zu überprüfen. Gleiches gelte für den Verweis des Gesuchsgeg- ners auf eine Aussage des Leiters Planung und Bau der Stadt B._____, wonach die in Auftrag gegebene denkmalpflegerische Gutachtertätigkeit Anlass der ge- setzlichen Pflicht gemäss § 204 PBG (Bindung an das Gemeinwesen) sei und für ihn als Hauseigentümer ohne Kostenfolge bleibe. Zusammengefasst erwiesen sich die Einreden des Gesuchsgegners bezüglich des Eintritts der Rechtskraft sowie der Vollstreckbarkeit als unbegründet. Schliesslich mache der Gesuchs- gegner sinngemäss die Tilgung durch Verrechnung mit einer angeblichen Gegen- forderung gegenüber der Gesuchstellerin in Höhe von Fr. 11'014.05 geltend. Al- lerdings sei dieser Anspruch weder durch Urteil, Verfügung noch eine Schuldan- erkennung ausgewiesen. Der Gesuchsgegner zeige denn auch nicht auf, worauf er seine Gegenforderung und damit seinen behaupteten Verrechnungsanspruch stütze. Die vom Gesuchsgegner in den Raum gestellte Gegenforderung sei auch anhand der im Recht liegenden Akten nicht nachvollziehbar, womit ihm deren Glaubhaftmachung nicht gelinge. Zusammengefasst vermögen die – wenig sub- stantiiert vorgebrachten – Einreden des Gesuchsgegners die Vorbringen der Ge- suchstellerin nicht zu entkräften, weshalb ihr für die Forderungen von Fr. 2'325.– sowie Fr. 3'200.–, je nebst Zins zu 5% ab Folgetag der jeweiligen Mahnung, so- wie für die Kosten der laufenden Betreibung antragsgemäss definitive Rechtsöff- nung zu erteilen sei (Urk. 16 S. 5 ff.).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w:t>
      </w:r>
    </w:p>
    <w:p>
      <w:r>
        <w:t>- 5 - 5A_488/2015 vom 21. August 2015, E. 3.2, je mit Hinweis auf BGE 138 III 374 E. 4.3.1). 3.2. Diesen formellen Anforderungen genügt die Beschwerde des Gesuchsgeg- ners nicht. Vielmehr wiederholt und ergänzt er im Wesentlichen bloss seine Be- anstandungen betreffend die von der Gesuchstellerin als Rechtsöffnungstitel an- geführten Verfügungen vom 9. Juli 2015 und vom 9. August 2017 (vgl. Urk. 15 S. 1-6) und macht erneut teilweise Verrechnung mit einer angeblichen Gegenfor- derung in der Höhe von insgesamt Fr. 11'014.05 geltend (Urk. 15 S. 7). Hingegen setzt er sich nicht einmal ansatzweise mit dem zutreffenden Argument der Vorin- stanz auseinander, die unangefochten gebliebenen und damit in Rechtskraft er- wachsenen Verfügungen vom 9. Juli 2015 und vom 9. August 2017 könnten im Rahmen des vorliegenden Rechtsöffnungsverfahrens inhaltlich nicht mehr über- prüft werden (vgl. dazu BGE 143 III 564 E. 4.3.1 = Pra 107/2018 Nr. 132; BGE 142 III 78 E. 3.1). Ebenso wenig setzt er sich mit dem Argument der Vorinstanz auseinander, der Einwand der Tilgung durch Verrechnung wäre nur beachtlich, wenn er mit Urkunden belegt worden wäre, welche mindestens zur provisorischen Rechtsöffnung berechtigen würden (vgl. dazu BSK SchKG-Staehelin, Art. 81 N 10; nach der bundesgerichtlichen Rechtsprechung ist der Einwand der Tilgung durch Verrechnung nur zu berücksichtigen, wenn die Verrechnungsforderung ih- rerseits durch einen vollstreckbaren Entscheid oder eine vorbehaltlose Anerken- nung der Gegenpartei belegt ist [BGE 136 III 624 E. 4.2.1 = Pra 100/2011 Nr. 54; BGer 5A_139/2018 vom 25. Juni 2019, E. 2.6]). Damit genügt der Gesuchsgegner seiner Begründungsobliegenheit (vgl. oben Ziff. 3.1) nicht, weshalb auf die Be- schwerde nicht einzutreten ist. 4. 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für das zweitinstanzliche Verfahren (vgl. Urk. 1 S. 1) nicht gewährt werden kann.</w:t>
      </w:r>
    </w:p>
    <w:p>
      <w:r>
        <w:t>- 6 - 5.1. Die Entscheidgebühr für das Beschwerdeverfahren ist in Anwendung von Art. 48 i.V.m. Art. 61 Abs. 1 GebV SchKG auf Fr. 300.– festzusetzen. Die Ge- richtskosten sind ausgangsgemäss dem Gesuchsgegner aufzuerlegen (Art. 106 Abs. 1 ZPO). 5.2. Für das Beschwerdeverfahren sind keine Parteientschädigungen zuzuspre- 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