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RT190183 vom 23. Juli 2020</w:t>
      </w:r>
    </w:p>
    <w:p>
      <w:r>
        <w:t>Zh Gerichte, 2020-07-23, DE</w:t>
      </w:r>
    </w:p>
    <w:p>
      <w:r>
        <w:rPr>
          <w:b/>
        </w:rPr>
        <w:t xml:space="preserve">Quelle: </w:t>
      </w:r>
      <w:r>
        <w:t>https://mcp.opencaselaw.ch/entscheid/zh_gerichte_RT190183</w:t>
      </w:r>
    </w:p>
    <w:p>
      <w:r>
        <w:t>FR: ZH_GERICHTE RT190183 du 23 juillet 2020</w:t>
      </w:r>
    </w:p>
    <w:p>
      <w:r>
        <w:t>IT: ZH_GERICHTE RT190183 del 23 luglio 2020</w:t>
      </w:r>
    </w:p>
    <w:p>
      <w:pPr>
        <w:pStyle w:val="Heading2"/>
      </w:pPr>
      <w:r>
        <w:t>Regeste</w:t>
      </w:r>
    </w:p>
    <w:p>
      <w:r>
        <w:t>Teilanonymisierte Urteilskopie als definitiver Rechtsöffnungstitel.</w:t>
      </w:r>
    </w:p>
    <w:p>
      <w:pPr>
        <w:pStyle w:val="Heading2"/>
      </w:pPr>
      <w:r>
        <w:t>Erwägungen</w:t>
      </w:r>
    </w:p>
    <w:p>
      <w:r>
        <w:rPr>
          <w:b/>
        </w:rPr>
        <w:t>E. 14</w:t>
      </w:r>
    </w:p>
    <w:p>
      <w:r>
        <w:t>März 2011, E. 6 m.Hinw. auf BGE 132 III 140 E. 4.1.1 S. 142), durchaus hö- here Anforderungen gestellt werden als in einem gerichtlichen Erkenntnisverfah- ren. Die gesteigerte Formstrenge muss aber vom Normzweck gedeckt und darf nicht überspitzt formalistisch sein. Vorbehalten bleibt selbstverständlich stets die Einforderung einer vollständigen, allenfalls beglaubigten Kopie oder des Originals gemäss Art. 180 Abs. 1 Satz 2 ZPO. 3.2.7. Im vorliegenden Fall reichten die Gesuchsteller eine Fotokopie des gesamten bundesgerichtlichen Urteils vom xxx ins Recht, deren Echtheit (als Fo- tokopie des den Parteien schriftlich eröffneten Urteils) weder vom Gesuchsgegner noch von der Vorinstanz in Frage gestellt wurde und auch sonst nicht anzuzwei- feln ist. Darin sind insgesamt zehn Stellen in der Urteilsbegründung abgedeckt. Aus dem inhaltlichen Kontext erschliesst sich ohne Weiteres, dass es sich dabei um die Anonymisierung von Drittpersonen-, Haus- und Ortsnamen handelt, die (entgegen den Ausführungen in der Beschwerdeantwort) in der Sache keinerlei Einfluss auf den Ausgang des bundesgerichtlichen Verfahrens bzw. den bundes- gerichtlichen Entscheid hatten. Es ist klar ersichtlich, dass sie für den Inhalt, die Aussagekraft und den Beweiswert der als Rechtsöffnungstitel vorgelegten Urkun- de bzw. Kopie im Sinne von Art. 180 ZPO vollends unerheblich und insbesondere nicht geeignet sind, diese zu verfälschen oder "verdächtig" zu machen (vgl. Mül- ler, DIKE-Komm-ZPO, Art. 180 N 9). Gegenteiliges wird weder von der Vorinstanz noch vom Gesuchsgegner behauptet, der auch im vorinstanzlichen Verfahren keine Vorbehalte gegen die Abdeckungen vorbrachte. Allein aufgrund der Teila-</w:t>
      </w:r>
    </w:p>
    <w:p>
      <w:r>
        <w:t>- 6 - nonymisierung bestehen keine Zweifel oder auch nur vage Anhaltspunkte, dass eine inhaltliche Diskrepanz zwischen Kopie und Original des bundesgerichtlichen Urteils bestehen könnte. Vielmehr steht trotz der Abdeckungen mit Gewissheit fest, dass der Inhalt der vollständig (und nicht nur auszugsweise) eingereichten Kopie mit dem Inhalt des den Parteien eröffneten Urteils übereinstimmt, die Kopie also in dem Sinne echt ist, als sie das wiedergibt, was denselben tatsächlich er- öffnet worden ist (vgl. ZR 117 [2018] Nr. 32 E. 2.3). Das geht im Übrigen auch aus der anonymisierten Fassung des auf der Website des Bundesgerichts (www.bger.ch) unter der betreffenden Verfahrensnummer xxx veröffentlichten Ur- teils hervor. Im Unterschied zur Sachlage im Entscheid OGer ZH RT190071 vom 20.06.2019 steht die Vollständigkeit und Authentizität der als Vollstreckungstitel eingereichten Kopie somit ausser Frage. Damit ist dem von der Rechtsprechung statuierten "Erfordernis vollständiger Übereinstimmung der Kopie mit dem Original der Urkunde (Authentizität)" (vgl. OGer ZH RT190071 vom 20.06.2019, E. 3.7.2) aber Genüge getan. Ein Mehr an Formalität fordert der Zweck von Art. 180 ZPO und des darin implizierten Gebots, Urkunden (Originale und Kopien) vollständig einzureichen, nicht. Der vorinstanzliche Rechtsschluss, der Titel sei unvollständig und deshalb untauglich, gründet auf überhöhten formellen Anforderungen, die sich auch im formstrengen Rechtsöffnungsverfahren nicht rechtfertigen lassen. Mit ihrer unverhältnismässigen Formstrenge hat die Vorinstanz für ihr Verfahren formelle Vorschriften (insbes. Art. 180 Abs. 1 ZPO) mit übertriebener Schärfe und im Ergebnis zum blossen Selbstzweck gehandhabt bzw. durch zu strikte Anwen- dung der Formvorschriften ohne schutzwürdige Interessen die Verwirklichung des materiellen Rechts in unhaltbarer Weise erschwert oder verhindert und somit – wie in der Beschwerde zu Recht gerügt wird – gegen das Verbot des überspitzten Formalismus verstossen (vgl. BGE 142 V 152 E. 4.2 S. 158 m.w.Hinw.; Häfe- lin/Müller/Uhlmann, Allgemeines Verwaltungsrecht, 7. Aufl. 2016, Rz 1051; BK ZPO I-Hurni, Art. 52 N 68; Göksu, DIKE-Komm-ZPO, Art. 52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