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PS240150 vom 12. Juni 2024</w:t>
      </w:r>
    </w:p>
    <w:p>
      <w:r>
        <w:t>Zh Gerichte, 2024-06-12, DE</w:t>
      </w:r>
    </w:p>
    <w:p>
      <w:r>
        <w:rPr>
          <w:b/>
        </w:rPr>
        <w:t xml:space="preserve">Quelle: </w:t>
      </w:r>
      <w:r>
        <w:t>https://mcp.opencaselaw.ch/entscheid/zh_gerichte_PS240150</w:t>
      </w:r>
    </w:p>
    <w:p>
      <w:r>
        <w:t>FR: ZH_GERICHTE PS240150 du 12 juin 2024</w:t>
      </w:r>
    </w:p>
    <w:p>
      <w:r>
        <w:t>IT: ZH_GERICHTE PS240150 del 12 giugno 2024</w:t>
      </w:r>
    </w:p>
    <w:p>
      <w:pPr>
        <w:pStyle w:val="Heading2"/>
      </w:pPr>
      <w:r>
        <w:t>Regeste</w:t>
      </w:r>
    </w:p>
    <w:p>
      <w:r>
        <w:t>Rektifizierte Pfändungsurkunde vom 12. Juni 2024 / Pfändung Nr. ... Betreibungen Nrn. ... und ...</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die unrichtige Rechtsanwendung</w:t>
      </w:r>
    </w:p>
    <w:p>
      <w:r>
        <w:t>- 3 - und die offensichtlich unrichtige Feststellung des Sachverhaltes geltend gemacht werden (Art. 320 ZPO). Dabei sind konkrete Beschwerdeanträge zu stellen und zu begründen. Die Beschwerde führende Partei hat sich mit der Begründung des vorinstanzlichen Entscheides im Einzelnen auseinander zu setzen und anzuge- ben, an welchen Mängeln der angefochtene Entscheid ihrer Ansicht nach leidet (Art. 321 ZPO; vgl. im Einzelnen auch BK ZPO, STERCHI, 2012, Art. 321 N 15 ff.). Bei Parteien ohne anwaltliche Vertretung wird an diese Erfordernisse ein weniger strenger Massstab angelegt. Bei fehlender Auseinandersetzung bzw. Begründung ist jedoch auf die Beschwerde ohne Weiteres nicht einzutreten (ZR 110 Nr. 80; OGer ZH PS240079 vom 16. Mai 2024 E. 3.1.1; PS240042 vom 20. März 2024 E. 1.2; PS110192 vom 21. Februar 2012 E. 5.1). Neue Anträge, neue Tatsachen und neue Beweismittel (Noven) sind im Beschwerdeverfahren ausgeschlossen (Art. 326 ZPO). 3.1. Der vorinstanzlichen Erwägung, wonach sich die Eingabe der Beschwer- deführerin vom 1. Juli 2024 als offensichtlich weitschweifig und ungebührlich er- weise (vgl. act. 8 E. 3.1.), entgegnet die Beschwerdeführerin lediglich, diese sei "definitiv nicht weitschweifig und ungebührlich", sondern "sehr sehr sachlich bezo- gen" und "sehr gut begründet" (vgl. act. 9 S. 2 Mitte, act. 11 S. 3 Mitte und act. 13 S. 7 Mitte und S. 9). Dies genügt den Anforderungen an die Begründung einer Be- schwerde allerdings nicht, zumal sich die Beschwerdeführerin mit der vorinstanzli- chen Feststellung (vgl. act. 8 E. 3.1. 1. Satz) in keiner Weise auseinandersetzt. Dass die Vorinstanz ihren Entscheid damit nicht begründet habe (vgl. dahinge- hende Rüge in act. 13 S. 9), trifft nicht zu. Damit hat es sein Bewenden, und die Eingabe der Beschwerdeführerin vom 1. Juli 2024 sowie in diesem Zusammen- hang stehende Rügen in ihrer Beschwerde (act. 13 S. 8 Mitte und S. 13 ff.) sind nicht zu berücksichtigen. Entsprechend ist auch bereits aus diesem Grund auf ihre Rügen im Zusammenhang mit dem vorinstanzlichen Ausstandsgesuch gegen Ersatzrichter lic. iur. Bannwart in der Eingabe vom 1. Juli 2024 nicht einzugehen (vgl. act. 13 S. 9 unten; vgl. auch Rechtsbegehren Ziffer 6). Ferner ist darauf auch deshalb nicht einzutreten, weil lic. iur. Bannwart am vorinstanzlichen Verfahren gar nicht mitgewirkt hat (vgl. act. 8 S. 1 oben).</w:t>
      </w:r>
    </w:p>
    <w:p>
      <w:r>
        <w:t>- 4 - Ob die Vorinstanz der Beschwerdeführerin die Eingabe vom 1. Juli 2024 tatsächlich nicht zurückgesandt habe (vgl. etwa act. 9 S. 2 Mitte und 11 S. 2 un- ten), kann offen bleiben, zumal die Beschwerdeführerin daraus nichts zu ihren Gunsten ableitet. 3.2. Ferner rügt die Beschwerdeführerin, die Pfändungsurkunde vom 12. Juni 2024 erweise sich als nichtig, weil darin die Pfändung vom 25. April 2024 in Höhe von CHF 54'000.– sowie die weitere Pfändung von CHF 5'000.– nicht festgehal- ten worden sei (act. 13 S. 10). Abgesehen davon, dass es sich dabei um unzuläs- sige Noven handelt, erweist sich die Urkunde auch nicht als nichtig, zumal sie den Anforderungen von Art. 112 Abs. 1 SchKG entspricht. Auch die nicht festgehal- tene Rückerstattung von CHF 7'000.– an die Beschwerdeführerin stellt keinen Nichtigkeitsgrund dar (vgl. dahingehend act. 13 S. 10), abgesehen davon, dass ihr das Betreibungsamt die Rückerstattung mit separater Verfügung vom 10. Juli 2024 – und noch vor Einreichung der Beschwerdeergänzung vom 4. Juli 2024 (vgl. unbestritten gebliebene Sachverhaltsdarstellung in act. 8 E. 4.1. i.f.) – ange- zeigt hatte. Dasselbe gilt für die Behauptung, die Vorgänge im Zusammenhang mit den Vormerkungen einer Verfügungsbeschränkung hätten in der Pfändungs- urkunde vom 12. Juni 2024 festgehalten werden müssen (act. 13 S. 10 unten); auch in dieser Hinsicht liegen im Übrigen Urkunden des Betreibungsamts vor (vgl. act. 8 E. 4.2. mit weiteren Hinweisen). 3.3. Nachdem der Zahlungsbefehl in der Betreibung Nr. 2 nicht "verjährt" ist (vgl. BGer 5A_831/2023 vom 11. April 2024 E. 5), gehen die diesbezüglichen Rü- gen der Beschwerdeführerin an der Sache vorbei (act. 13 S. 11). Dies hat die Vor- instanz bereits korrekt festgehalten (act. 8 E. 4.3.). 3.4. Die Vorinstanz erwog im angefochtenen Entscheid ferner, der Einwand der Beschwerdeführerin, die Pfändung in der Betreibung Nr. 3 sei ihr vorgängig nicht angekündigt worden, erweise sich gestützt auf die Pfändungsankündigung vom 29. Februar 2024, gegen die sie Beschwerde erhoben und deren Erhalt da- mit selbst bestätigt habe, als offensichtlich tatsachenwidrig (act. 8 E. 4.4.). Dem entgegnet die Beschwerdeführerin unbehelflich, diese Ankündigung sei irrelevant, da sie in der Pfändungsurkunde vom 12. Juni 2024 nicht erwähnt sei (act. 13</w:t>
      </w:r>
    </w:p>
    <w:p>
      <w:r>
        <w:t>- 5 - S. 11). Damit bleibt es bei der vorinstanzlichen Feststellung, wonach der Be- schwerdeführerin in der Betreibung Nr. 3 mit Anzeige vom 29. Februar 2024 die Pfändung angekündigt wurde. Im Übrigen war die fragliche Anzeige vom 29. Fe- bruar 2024, mit welcher die Pfändung auf den 11. März 2024 angekündigt wurde, bereits Gegenstand des obergerichtlichen Beschwerdeverfahrens (vgl. Geschäfts- Nr. PS240084). Im Weitern trifft die vorinstanzliche Feststellung zu, wonach gerichtsnoto- risch sei, dass die Beschwerdeführerin gegen jede Betreibungshandlung des Be- treibungsamtes Beschwerde erhebt, den in den Betreibungen Nrn. 2 und 3 ange- kündigten Pfändungen gerichtsnotorisch jeweils keine Folge leistete bzw. diesen ohne genügende Entschuldigung fernblieb, sich dabei auch nicht vertreten liess und damit jegliche Mitwirkung an Vollzugshandlungen des Betreibungsamtes ver- weigerte (vgl. act. 8 E. 4.5.). Auch gegen die vorinstanzliche Feststellung, wonach ihre Verschiebungs- resp. Sistierungsgesuche im Zusammenhang mit den Pfän- dungsanzeigen anderweitig rechtshängig (Betreibung Nr. 2 mit Verweis auf vorin- stanzliche Geschäfts-Nr. CB230098-L) resp. abgeurteilt worden seien (Betreibung Nr. 3 mit Verweis auf vorinstanzliche Geschäfts-Nr. CB240023; vgl. auch oberge- richtliche Geschäfts-Nr. PS240084), bringt die Beschwerdeführerin nichts Stich- haltiges vor (vgl. act. 13 S. 12). Vielmehr macht sie lediglich geltend, das Betrei- bungsamt hätte in Bezug auf die Betreibung Nr. 3 (Geschäfts-Nr. CB240023 und PS240084) aufgrund eines Todesfalls neu vorladen müssen, was sie nicht getan habe, und in Bezug auf die Betreibung Nr. 2 hätte die Vorinstanz das Verfahren bis zur rechtskräftigen Erledigung der Geschäfts-Nr. CB230095 von Amtes wegen sistieren müssen. Diese Fragen sind nicht Gegenstand des vorliegenden Be- schwerdeverfahrens. Der Vorinstanz kann auch nicht vorgeworfen werden, sie habe nicht be- gründet, warum eine "Pfändung ohne Voranmeldung" im vorliegenden Fall zuläs- sig sei (vgl. dahingehende Rüge in act. 13 S. 12 Mitte). Die Beschwerdeführerin hat sich mit den vorstehend dargelegten Erwägungen des angefochtenen Zirkula- tionsbeschlusses, die Beschwerdeführerin leiste gerichtsnotorisch angekündigten Pfändungen keine Folge und bleibe diesen ohne genügende Entschuldigung fern</w:t>
      </w:r>
    </w:p>
    <w:p>
      <w:r>
        <w:t>- 6 - (act. 8 E. 4.5), nicht genügend auseinandergesetzt. Folglich ist die vorinstanzliche Feststellung, das Betreibungsamt habe die Pfändung Nr. 1 androhungsgemäss – ohne vorgängige erneute Vorladung – zu Recht in Abwesenheit der Beschwerde- führerin vollzogen (vgl. act. 8 E. 4.5.), nicht zu beanstanden. 3.5. Die Beschwerdeführerin nimmt in ihren Eingaben auch sonst keinen Be- zug auf den vorinstanzlichen Entscheid und rügt lediglich pauschal und/oder tat- sachenwidrig, dass: - die Vorinstanz ihre Eingabe vom 4. Juli 2024 nicht berücksichtigt habe (act. 11 S. 4), was allerdings nicht zutrifft (vgl. act. 8 E. 4.1. 1. Satz), - die Vorinstanz ohne gesetzliche Grundlage handle und sich auf keine materiellrechtlichen Grundlage stütze (act. 13 S. 5), - das Handeln der Vorinstanz den Grundsatz von Treu und Glauben missachte (act. 11 Rz. 3 und 5), - der angefochtene Entscheid "auf keine Art und Weise begründet" sei und gegen das Willkürverbot verstosse (act. 11 Rz. 3 und act. 13 S. 3 und 6). - die Pfändungsurkunde nicht von Herrn Ruch unterschrieben worden sei und die darin festgehaltene Rechtsmittelbelehrung völlig falsch sei (act. 9 Rz. 6 und 7 [recte: 8], wobei es sich dabei auch um unzulässige Noven handelt), Auf diese unsubstantiierten oder haltlosen Rügen ist nicht weiter einzugehen. 3.6. Damit erweist sich die Beschwerde als unbegründet, weshalb sie abzu- weisen ist. Mit dem vorliegenden Entscheid wird der Antrag der Beschwerdeführe- rin auf Erteilung der aufschiebenden Wirkung gegenstandslos und ist abzuschrei- ben.</w:t>
      </w:r>
    </w:p>
    <w:p>
      <w:r>
        <w:rPr>
          <w:b/>
        </w:rPr>
        <w:t>E. 4</w:t>
      </w:r>
    </w:p>
    <w:p>
      <w:r>
        <w:t>Wie bereits im vorinstanzlichen Verfahren (vgl. act. 8 E. 6.1. und 6.2. mit diversen Hinweisen) ist auch die vorliegende Beschwerde als mutwillig zu be- zeichnen, nachdem die Beschwerdeführerin zum wiederholten Male als Begrün- dung ihrer Beschwerde (für diesen Fall irrelevante) Textbausteine aneinander-</w:t>
      </w:r>
    </w:p>
    <w:p>
      <w:r>
        <w:t>- 7 - reiht, pauschale (Nichtigkeits-)Rügen aufstellt, sich im Übrigen mit dem vorin- stanzlichen Entscheid nicht konkret oder nur in ungenügender Weise auseinan- dersetzt und schliesslich tatsachenwidrige Behauptungen aufstellt. Mit Blick dar- auf sind für dieses Verfahren androhungsgemäss Kosten zu erheben, die auf CHF 500.– festzusetzen sind. Parteientschädigungen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