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PS230211 vom 23. Februar 2023</w:t>
      </w:r>
    </w:p>
    <w:p>
      <w:r>
        <w:t>Zh Gerichte, 2023-02-23, DE</w:t>
      </w:r>
    </w:p>
    <w:p>
      <w:r>
        <w:rPr>
          <w:b/>
        </w:rPr>
        <w:t xml:space="preserve">Quelle: </w:t>
      </w:r>
      <w:r>
        <w:t>https://mcp.opencaselaw.ch/entscheid/zh_gerichte_PS230211</w:t>
      </w:r>
    </w:p>
    <w:p>
      <w:r>
        <w:t>FR: ZH_GERICHTE PS230211 du 23 février 2023</w:t>
      </w:r>
    </w:p>
    <w:p>
      <w:r>
        <w:t>IT: ZH_GERICHTE PS230211 del 23 febbraio 2023</w:t>
      </w:r>
    </w:p>
    <w:p>
      <w:pPr>
        <w:pStyle w:val="Heading2"/>
      </w:pPr>
      <w:r>
        <w:t>Regeste</w:t>
      </w:r>
    </w:p>
    <w:p>
      <w:r>
        <w:t>Kostenrechnung und Verfügung Nr. 63031 vom 23. Februar 2023</w:t>
      </w:r>
    </w:p>
    <w:p>
      <w:pPr>
        <w:pStyle w:val="Heading2"/>
      </w:pPr>
      <w:r>
        <w:t>Erwägungen</w:t>
      </w:r>
    </w:p>
    <w:p>
      <w:r>
        <w:rPr>
          <w:b/>
        </w:rPr>
        <w:t>E. 23</w:t>
      </w:r>
    </w:p>
    <w:p>
      <w:r>
        <w:t>Februar 2023 zurück (act. 2/2). Dies jeweils mit der Begründung, dem Aus- kunftsbegehren sei eine falsche Identitätskarte beigelegt worden (act. 1 Ziff. 3; act. 2/2). 1.2.1 Mit Eingabe vom 2. März 2023 (Datum Poststempel: 3. März 2023; act. 1) erhob die Beschwerdeführerin Beschwerde beim Bezirksgericht Affoltern als unte- re kantonale Aufsichtsbehörde über Schuldbetreibung und Konkurs (fortan Vor- instanz) und wehrte sich gegen die Rückweisung des Auskunftsbegehrens (Rechtsbegehren Ziff. 1 u. 2) sowie die in diesem Zusammenhang erhobenen Kosten (Rechtsbegehren Ziff. 3). Sie machte im Wesentlichen geltend, bei der eingereichten Identitätskarte handle es sich um einen verbesserlichen Fehler, weshalb ihr durch das Betreibungsamt gestützt auf Art. 32 Abs. 4 SchKG die Möglichkeit zur Nachbesserung zu gewähren gewesen wäre. Zudem sei der in Rechnung gestellte Betrag von Fr. 18.30, welcher sich aus Fr. 8.– für eine Verfü- gung, Fr. 5.– für einen Tagebucheintrag und Fr. 5.30 für eine Einschreibegebühr zusammensetze, zu hoch, sei es doch in einem elektronischen Verfahren nicht nur unnötig, sondern auch unzulässig, ein physisches Schreiben mittels Ein- schreiben an die Beschwerdeführerin zu senden. Die Beschwerdeführerin stellte im Rahmen des Beschwerdeverfahrens sodann das folgende Rechtsbegehren: " 1.–3. … 4. Die Beschwerdeführerin [recte: der Beschwerdegegner] sei anzuweisen, physische Rüchmeldungen im elektronischen Verfahren zu unterlassen. 5. …"</w:t>
      </w:r>
    </w:p>
    <w:p>
      <w:r>
        <w:t>- 3 - 1.2.2 Mit Beschluss vom 27. März 2023 erteilte die Vorinstanz der Beschwerde die aufschiebende Wirkung und setzte dem Betreibungsamt Frist zur Stellung- nahme an (act. 3). Im Rahmen der Beschwerdeantwort vom 6. April 2023 zog das Betreibungsamt die angefochtene Verfügung teilweise in Wiedererwägung und reduzierte mit Kostenrechnung und Verfügung Nr. 63'625 vom 11. April 2023 die angefochtene Kostenverfügung Nr. 63'031 um die Einschreibegebühr von Fr. 5.30 auf Fr. 13.– (act. 5 u. 6/3). Die Vorinstanz holte bei der Beschwerdeführerin eine Stellungname (act. 7–9) ein und daraufhin wiederum eine Stellungnahme beim Betreibungsamt (act. 10–13). 1.2.3 Mit Entscheid vom 27. Oktober 2023 ([act. 14 =] act. 19 [= act. 21]) hiess die Vorinstanz die Beschwerde dahingehend gut, als sie die Verfügung des Betreibungsamtes mit Tagebuch Nr. 2 vom 23. Februaur 2023 aufhob und das Betreibungsamt verpflichtete, der Beschwerdeführerin eine Nachfrist zur Verbesserung des Auskunftsbegehrens anzusetzen (a.a.O., Dispositiv Ziff.1). Auf das Rechtsbegehren Ziff. 3, mit welchem die Beschwerdeführerin eine Anpassung der Kostenrechung verlangte, trat die Vorinstanz nicht ein (a.a.O., Dispositiv Ziff. 2). Das Rechtsbegehren Ziff. 4 wies die Vorinstanz ab (a.a.O., Dispositiv Nr. 3). 1.3 Gegen die Abweisung des Rechtsbegehrens Ziff. 4 gelangte die Beschwerdeführerin mit Beschwerde vom 7. November 2023 (Datum Postempel: 8. November 2023) rechtzeitig (vgl. act. 16) an die Kammer und stellt die folgenden Anträge (act. 20): " 1. Die Abweisung von Rechtsbegehren Nr. 4 der ursprünglichen Beschwerdeschrift sei aufzuheben resp. sei das Rechtsbegeh- ren Nr. 4 anhand der geltenden Gesetzes- und Faktenlage er- neut und korrekt zu beurteilen. 2. Eventualiter sei das Rechtsbegehren Nr. 4 zur Neubeurteilung an die Vorinstanz zurückzugeben. 3. Die Akten des erstinstanzlichen Verfahrens sind beim Bezirksge- richt Affoltern zu edieren und heranzuziehen. 4. Alles unter Kosten und Entschädigungsfolgen zu Lasten der Be- schwerdegegnerin."</w:t>
      </w:r>
    </w:p>
    <w:p>
      <w:r>
        <w:t>- 4 -</w:t>
      </w:r>
    </w:p>
    <w:p>
      <w:r>
        <w:t>Die vorinstanzlichen Akten wurden beigezogen (act.1–17). Vom Einholen ei- ner Antwort bzw. einer Vernehmlassung kann abgesehen werden (Art. 20a Abs. 3 SchKG i.V.m. Art. 322 Abs. 1 sowie Art. 324 ZPO bzw. § 83 Abs. 2 GOG/ZH). Das Verfahren ist spruchreif. 2.1.1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2.1.2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2.1.3 Damit auf die Beschwerde eingetreten wird, muss die beschwerdeführende Partei sodann ein schutzwürdiges Interesse an der Beurteilung der Beschwerde haben (sog. Rechtsschutzinteresse). In Bezug auf die SchK-Beschwerde bedeu- tet dies, dass mit dieser ein praktischer Verfahrenszweck verfolgt wird; die Korrek- tur im Sinne eines Zurückkommens auf die angefochtene Handlung muss noch möglich sein (z.B. BGE 139 III 348, E. 2.1; BGE 120 III 107, E. 2; vgl. auch BSK SchKG I-COMETTA/MÖCKLI, 3. Aufl. 2021, Art. 17 N 7 m.w.H.).</w:t>
      </w:r>
    </w:p>
    <w:p>
      <w:r>
        <w:t>- 5 - 2.2 Mit dem vorliegend gegenständlichen Begehren zielt (bzw. zielte bereits vor Vorinstanz) die Beschwerdeführerin darauf ab, dass das Betreibungsamt durch die Aufsichtsbehörde anzuweisen sei, in Zukunft in "elektronischen" Verfahren physische Rückmeldungen zu unterlassen; aus der Begründung ergibt sich so- dann, dass es der Beschwerdeführerin vor allem darum geht, die Parallelität von elektronischer und physischer Rückmeldung in Zukunft zu unterbinden (act. 20). Neben dem, dass der Beschwerdeführerin aufgrund der durch das Betreibungs- amt im Rahmen der Rückweisung des Auskunftsbegehrens vorgenommenen doppelten bzw. parallelen Zustellung aktuell keine Nachteile mehr bestehen, da den durch die doppelte Zustellung erfolgten zusätzlichen Kosten durch die Wie- dererwägung des Betreibungsamtes nach Ansicht der Vorinstanz bereits beige- kommen worden ist (was von der Beschwerdeführerin hier unbestritten bleibt), ist das Begehren der Beschwerdeführerin, so wie sie es stellt, ohnehin allgemein und unbestimmt. Weder besteht angesichts der Formulierung ein Bezug zur konkret angefochtenen Verfügung bzw. zu einem konkreten Verfahren, noch ist klar, be- züglich wem (nur sich selbst oder der Allgemeinheit) die Beschwerdeführerin die- se Weisung an das Betreibungsamt wünscht. Es ist jedenfalls nicht Aufgabe der Aufsichtsbehörde im Rahmen einer Beschwerdebeurteilung, losgelöst von einem konkreten Verfahren, allgemeine Weisungen an das Betreibungsamt für die Zu- kunft zu erlassen. Damit mangelt es der vorliegenden Beschwerde an einem hin- reichend konkreten Begehren wie auch an einem praktischen Verfahrenszweck in Bezug auf ein konkretes betreibungsrechtliches Verfahren. 2.3 Auf die Beschwerde ist nach dem Gesagten nicht einzutreten. 3. Das Verfahren vor der oberen kantonalen Aufsichtsbehörde in Schuldbetrei- bungs- und Konkurssachen ist kostenlos (Art. 20a Abs. 2 Ziff. 5 SchKG). Partei- entschädigungen sind nicht auszurichten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