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PS220213 vom 6. Juli 2022</w:t>
      </w:r>
    </w:p>
    <w:p>
      <w:r>
        <w:t>Zh Gerichte, 2022-07-06, DE</w:t>
      </w:r>
    </w:p>
    <w:p>
      <w:r>
        <w:rPr>
          <w:b/>
        </w:rPr>
        <w:t xml:space="preserve">Quelle: </w:t>
      </w:r>
      <w:r>
        <w:t>https://mcp.opencaselaw.ch/entscheid/zh_gerichte_PS220213</w:t>
      </w:r>
    </w:p>
    <w:p>
      <w:r>
        <w:t>FR: ZH_GERICHTE PS220213 du 6 juillet 2022</w:t>
      </w:r>
    </w:p>
    <w:p>
      <w:r>
        <w:t>IT: ZH_GERICHTE PS220213 del 6 luglio 2022</w:t>
      </w:r>
    </w:p>
    <w:p>
      <w:pPr>
        <w:pStyle w:val="Heading2"/>
      </w:pPr>
      <w:r>
        <w:t>Regeste</w:t>
      </w:r>
    </w:p>
    <w:p>
      <w:r>
        <w:t>Verfügung des Betreibungsamt Thalwil-Rüschlikon-Kilchberg vom 6. Juli 2022 in der Betreibung Nr...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Für das Verfahren vor der oberen kantonalen Aufsichtsbehörde in Schuldbetreibungs- und Konkurssachen sind keine Kosten zu erheben (Art. 20a Abs. 2 Ziff. 5 SchKG). Gemäss Art. 62 Abs. 2 GebV SchKG sind keine Parteient- schädigungen zuzusprechen.</w:t>
      </w:r>
    </w:p>
    <w:p>
      <w:r>
        <w:t>- 8 -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