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PS220069 vom 24. November 2021</w:t>
      </w:r>
    </w:p>
    <w:p>
      <w:r>
        <w:t>Zh Gerichte, 2021-11-24, DE</w:t>
      </w:r>
    </w:p>
    <w:p>
      <w:r>
        <w:rPr>
          <w:b/>
        </w:rPr>
        <w:t xml:space="preserve">Quelle: </w:t>
      </w:r>
      <w:r>
        <w:t>https://mcp.opencaselaw.ch/entscheid/zh_gerichte_PS220069</w:t>
      </w:r>
    </w:p>
    <w:p>
      <w:r>
        <w:t>FR: ZH_GERICHTE PS220069 du 24 novembre 2021</w:t>
      </w:r>
    </w:p>
    <w:p>
      <w:r>
        <w:t>IT: ZH_GERICHTE PS220069 del 24 novembre 2021</w:t>
      </w:r>
    </w:p>
    <w:p>
      <w:pPr>
        <w:pStyle w:val="Heading2"/>
      </w:pPr>
      <w:r>
        <w:t>Regeste</w:t>
      </w:r>
    </w:p>
    <w:p>
      <w:r>
        <w:t>Verfügung des Betreibungsamtes Zürich 7 vom 24. November 2021/ Verweigerung der Freigabe von Arrestgegenständen</w:t>
      </w:r>
    </w:p>
    <w:p>
      <w:pPr>
        <w:pStyle w:val="Heading2"/>
      </w:pPr>
      <w:r>
        <w:t>Erwägungen</w:t>
      </w:r>
    </w:p>
    <w:p>
      <w:r>
        <w:rPr>
          <w:b/>
        </w:rPr>
        <w:t>E. 1</w:t>
      </w:r>
    </w:p>
    <w:p>
      <w:r>
        <w:t>Die Verfügung des Betreibungsamtes Zürich 7 vom 24. November 2021 sei für nichtig zu erklären, eventualiter sei sie aufzuheben.</w:t>
      </w:r>
    </w:p>
    <w:p>
      <w:r>
        <w:rPr>
          <w:b/>
        </w:rPr>
        <w:t>E. 1.1</w:t>
      </w:r>
    </w:p>
    <w:p>
      <w:r>
        <w:t>Gegenstand des vorliegenden Beschwerdeverfahrens bildet die Aufrechter- haltung der Arreste Nrn. 1 und 2, die vom Betreibungsamt Zürich 7 (nachfolgend: Betreibungsamt) aufgrund von Sicherstellungsverfügungen der kantonalen Steuer- verwaltung vom 27. August 2020 vollzogen worden waren (vgl. statt vieler OGer ZH PS200237, PS200238, PS210055, PS210060).</w:t>
      </w:r>
    </w:p>
    <w:p>
      <w:r>
        <w:t>Vor Vorinstanz war unbestritten und aktenkundig, dass die Beschwerdeführe- rin gegen die Sicherstellungsverfügungen Beschwerde bzw. Rekurs an das Verwal- tungsgericht des Kantons Zürich erhoben hatte und dieses mit Urteil vom 25. August 2021 den sicherzustellenden Betrag zur Deckung der geschuldeten di- rekten Bundessteuern 2016-2019 von Fr. 50'000.– auf Fr. 23'000.– reduzierte (Ar- rest Nr. 1). Im Übrigen (Staats- und Gemeindesteuern 2011-2012, Arrest Nr. 2) wurde der Rekurs abgewiesen (vgl. act. 34 E. 3.3 mit Verweis auf VGer ZH SR.2020.00017 und SR.2020.00018, act. 2/10 = act. 15/2/14).</w:t>
      </w:r>
    </w:p>
    <w:p>
      <w:r>
        <w:rPr>
          <w:b/>
        </w:rPr>
        <w:t>E. 1.2</w:t>
      </w:r>
    </w:p>
    <w:p>
      <w:r>
        <w:t>Mit Schreiben vom 21. November 2021 (act. 2/2) verlangte die Beschwerde- führerin vom Betreibungsamt Zürich 7 gestützt auf das Urteil des Verwaltungsge- richts des Kantons Zürich vom 25. August 2021 (act. 2/10) die Freigabe der (in der Eingabe nicht näher bezeichneten) Arrestgegenstände in den Arresten Nrn. 1 und 2, mindestens aber die teilweise Freigabe des im Arrest Nr. 1 verarrestierten Teilbetrages von Fr. 32'400.00 im Umfang der teilweisen Gutheissung ihrer Be- schwerde gegen die Sicherstellungsverfügung des kantonalen Steueramtes vom 27. August 2020. Das Betreibungsamt lehnte die Freigabe der Arrestgegenstände mit Einschreiben vom 24. November 2021 (act. 2/1) ab, u.a. mit der Begründung, dass das Verwaltungsgerichtsurteil wegen des Weiterzugs an das Bundesgericht noch nicht in Rechtskraft erwachsen sei.</w:t>
      </w:r>
    </w:p>
    <w:p>
      <w:r>
        <w:rPr>
          <w:b/>
        </w:rPr>
        <w:t>E. 1.3</w:t>
      </w:r>
    </w:p>
    <w:p>
      <w:r>
        <w:t>Mit Eingabe vom 1. Dezember 2021 (act. 1) erhob die Beschwerdeführerin dagegen rechtzeitig (vgl. act. 2/1) bei der Vorinstanz Beschwerde mit folgenden Rechtsbegehren:</w:t>
      </w:r>
    </w:p>
    <w:p>
      <w:r>
        <w:t>- 3 -</w:t>
      </w:r>
    </w:p>
    <w:p>
      <w:r>
        <w:rPr>
          <w:b/>
        </w:rPr>
        <w:t>E. 1.4</w:t>
      </w:r>
    </w:p>
    <w:p>
      <w:r>
        <w:t>Mit Eingabe vom 3. Dezember 2021 (act. 5) erhob die Beschwerdeführerin Beschwerde wegen Rechtsverzögerung / Rechtsverweigerung. Dies mit der Be- gründung, das Schreiben des Betreibungsamtes vom 24. November 2021 (act. 2/1 = act. 6/2) enthalte keine Rechtsmittelbelehrung und stelle deshalb keine anfecht- bare Verfügung dar (vgl. act. 5 i.V.m. act. 6/1-5). Die Eingabe wurde von der Vor- instanz als Ergänzung zur Beschwerde vom 1. Dezember 2021 (act. 1 = act. 6/5) entgegengenommen (vgl. act. 7).</w:t>
      </w:r>
    </w:p>
    <w:p>
      <w:r>
        <w:t>Im Rahmen des vorinstanzlichen Verfahrens reichte das Betreibungsamt die von der Beschwerdeführerin verlangte (act. 6/3 = act. 10/11) und nachgeholte Ver- fügung vom 3. Dezember 2021 (act. 10/12) ein.</w:t>
      </w:r>
    </w:p>
    <w:p>
      <w:r>
        <w:rPr>
          <w:b/>
        </w:rPr>
        <w:t>E. 1.5</w:t>
      </w:r>
    </w:p>
    <w:p>
      <w:r>
        <w:t>Mit Eingabe vom 8. Dezember 2021 (act. 15/1) erhob die Beschwerdeführerin (erneut) Beschwerde gegen die Abweisung ihres Gesuchs vom 21. November 2021 gegen die nunmehr nachgeholte, formell korrekt ausgestellte Verfügung des Betreibungsamtes vom 3. Dezember 2021 (vgl. act. 15/2/1 = act. 10/12), sinnge- mäss mit den gleichen Rechtsbegehren wie bereits in der Eingabe vom 1. Dezember 2021. Ergänzend machte sie geltend, die Prosequierungsfrist sei längst abgelaufen, da die Arresturkunden in den Arresten Nrn. 1 und 2 in Rechts- kraft erwachsen seien (act. 15/1 S. 3-5 i.V.m. act. 15/2/1-14). Diese Beschwerde wurde von der Vorinstanz unter der Geschäfts-Nr. CB210138 angelegt und mit dem Geschäft Nr. CB210136 vereinigt.</w:t>
      </w:r>
    </w:p>
    <w:p>
      <w:r>
        <w:rPr>
          <w:b/>
        </w:rPr>
        <w:t>E. 1.6</w:t>
      </w:r>
    </w:p>
    <w:p>
      <w:r>
        <w:t>Die Vorinstanz zog das Urteil des Bundesgerichts 2C_815/2021 vom 23. Dezember 2021 (act. 24) von Amtes wegen bei (vgl. act. 20; Art. 20a Abs. 2</w:t>
      </w:r>
    </w:p>
    <w:p>
      <w:r>
        <w:t>- 4 - Ziff. 2 SchKG). Darin wies das Bundesgericht die Beschwerden der Beschwerde- führerin ab, soweit es darauf eintrat.</w:t>
      </w:r>
    </w:p>
    <w:p>
      <w:r>
        <w:t>Mit Eingabe vom 6. Januar 2022 liess das Betreibungsamt der Vorinstanz ori- entierungshalber die Verfügung vom 5. Januar 2022 in den Arresten Nrn. 1 und 2 u.a. betreffend die Reduzierung des Arrestbeschlages im Arrest Nr. 1 im Umfang von Fr. 32'400.– zukommen (act. 28) und beantragte gestützt darauf sinngemäss die Abschreibung des Rechtsbegehrens 3 der Beschwerdeführerin (act. 27). In der erwähnten Verfügung gab das Betreibungsamt dem Gesuch der Beschwerdeführe- rin um Reduzierung des Arrestbeschlages im genannten Umfang zwar statt. Es ver- fügte allerdings, dass dieser Betrag der Beschwerdeführerin erst nach Eintritt der Rechtskraft der Verfügung vom 5. Januar 2022 überwiesen werde.</w:t>
      </w:r>
    </w:p>
    <w:p>
      <w:r>
        <w:rPr>
          <w:b/>
        </w:rPr>
        <w:t>E. 1.7</w:t>
      </w:r>
    </w:p>
    <w:p>
      <w:r>
        <w:t>Nach durchgeführtem Verfahren (vgl. act. 34 E. 2) entschied die Vorinstanz mit Zirkulationsbeschluss vom 17. März 2022 (act. 31 = act. 34 [Aktenexemplar] = act. 36) was folgt:</w:t>
      </w:r>
    </w:p>
    <w:p>
      <w:r>
        <w:rPr>
          <w:b/>
        </w:rPr>
        <w:t>E. 2</w:t>
      </w:r>
    </w:p>
    <w:p>
      <w:r>
        <w:t>Das Betreibungsamt Zürich 7 sei anzuweisen, die verarrestierten Vermögenswerte in den Arresten Nrn. 1 und 2 vollumfänglich frei- zugeben.</w:t>
      </w:r>
    </w:p>
    <w:p>
      <w:r>
        <w:rPr>
          <w:b/>
        </w:rPr>
        <w:t>E. 3</w:t>
      </w:r>
    </w:p>
    <w:p>
      <w:r>
        <w:t>Eventualiter sei das Betreibungsamt Zürich 7 anzuweisen, den Ar- restbeschlag im Arrest Nr. 1 in der Höhe von Fr. 32'400.00 zu re- duzieren und die verarrestierten Vermögenswerte in diesem Um- fang freizugeben.</w:t>
      </w:r>
    </w:p>
    <w:p>
      <w:r>
        <w:rPr>
          <w:b/>
        </w:rPr>
        <w:t>E. 4</w:t>
      </w:r>
    </w:p>
    <w:p>
      <w:r>
        <w:t>Alles unter Kosten- und Entschädigungsfolgen zulasten des Be- treibungsamtes.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