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PD160005 vom 8. Juni 2016</w:t>
      </w:r>
    </w:p>
    <w:p>
      <w:r>
        <w:t>Zh Gerichte, 2016-06-08, DE</w:t>
      </w:r>
    </w:p>
    <w:p>
      <w:r>
        <w:rPr>
          <w:b/>
        </w:rPr>
        <w:t xml:space="preserve">Quelle: </w:t>
      </w:r>
      <w:r>
        <w:t>https://mcp.opencaselaw.ch/entscheid/zh_gerichte_PD160005</w:t>
      </w:r>
    </w:p>
    <w:p>
      <w:r>
        <w:t>FR: ZH_GERICHTE PD160005 du 8 juin 2016</w:t>
      </w:r>
    </w:p>
    <w:p>
      <w:r>
        <w:t>IT: ZH_GERICHTE PD160005 del 8 giugno 2016</w:t>
      </w:r>
    </w:p>
    <w:p>
      <w:pPr>
        <w:pStyle w:val="Heading2"/>
      </w:pPr>
      <w:r>
        <w:t>Regeste</w:t>
      </w:r>
    </w:p>
    <w:p>
      <w:r>
        <w:t>Forderung (Parteientschädigung) Beschwerde gegen eine Verfügung des Einzelgerichtes des Mietgerichtes Dietikon vom 8. Juni 2016 (MG150013)</w:t>
      </w:r>
    </w:p>
    <w:p>
      <w:pPr>
        <w:pStyle w:val="Heading2"/>
      </w:pPr>
      <w:r>
        <w:t>Erwägungen</w:t>
      </w:r>
    </w:p>
    <w:p>
      <w:r>
        <w:rPr>
          <w:b/>
        </w:rPr>
        <w:t>E. 1</w:t>
      </w:r>
    </w:p>
    <w:p>
      <w:r>
        <w:t>Zwischen den Parteien waren Nebenkostenforderungen aus zwei Miet- verhältnissen strittig (act. 5/17 S. 1). Mit Eingabe von 12. Mai 2015 liessen die Kläger und Beschwerdeführer (nachfolgend: Kläger) bei der Schlichtungsbehörde des Bezirksgerichtes Dietikon das Gesuch um Durchführung einer Schlichtungs- verhandlung stellen (act. 5/1). Ihre Begehren beliefen sich gemäss nicht bean- standeter Feststellung der Vorinstanz auf rund Fr. 3'600.-- (act. 5/17 S. 2; act. 28 S. 4). Nachdem anlässlich der Schlichtungsverhandlung vom 3. November 2015 zwischen den Parteien keine Einigung erzielt werden konnte (act. 5 Prot. S. 4) un- terbreitete die Schlichtungsbehörde den Parteien gleichentags einen Urteilsvor- schlag (act. 5/22). Dieser wurde von der Beklagten abgelehnt (act. 5/24), worauf den Klägern am 3. Dezember 2015 die Klagebewilligung erteilt wurde (act. 5/26).</w:t>
      </w:r>
    </w:p>
    <w:p>
      <w:r>
        <w:rPr>
          <w:b/>
        </w:rPr>
        <w:t>E. 2</w:t>
      </w:r>
    </w:p>
    <w:p>
      <w:r>
        <w:t>Mit Schriftsatz vom 14. Dezember 2015 (act. 1) erhoben die Kläger Klage beim Einzelgericht des Mietgerichtes Dietikon (nachfolgend: Vorinstanz) und ergänzten mit Eingabe vom 12. Januar 2016 ihre Rechtsbegehren (act. 8). Am 18. Mai 2016 teilte die Beklagte der Vorinstanz mit, dass sich die Parteien bis auf die Kostenliquidation geeinigt hätten und reichte die entsprechende Ver- gleichsvereinbarung ein (act. 14 und 15). Die Kläger wandten sich ihrerseits mit Schreiben vom 20. Mai 2016 an die Vorinstanz und beantragten, den Vergleich zu genehmigen und das Verfahren abzuschreiben sowie die Beklagte zur Bezahlung der klägerischen Anwaltskosten des Schlichtungs- und des mietgerichtlichen Ver- fahrens gemäss Kostennote zu verpflichten (act. 18). Diese enthielt eine Forde- rung von total Fr. 4'973.60 (act. 19).</w:t>
      </w:r>
    </w:p>
    <w:p>
      <w:r>
        <w:rPr>
          <w:b/>
        </w:rPr>
        <w:t>E. 3</w:t>
      </w:r>
    </w:p>
    <w:p>
      <w:r>
        <w:t>Mit Verfügung vom 8. Juni 2016 schrieb die Vorinstanz das Verfahren als durch Vergleich erledigt ab (act. 24 = act. 28 Dispositiv-Ziff. 1). Die Gerichts- kosten in Höhe von Fr. 400.-- wurden der Beklagten auferlegt (act. 28 Dispositiv- Ziff. 2 und 3) und diese zudem verpflichtet, den Klägern eine Parteientschädigung von Fr. 486.– (inkl. Mehrwertsteuer) zu bezahlen (act. 28 Dispsositiv-Ziff. 4).</w:t>
      </w:r>
    </w:p>
    <w:p>
      <w:r>
        <w:t>- 3 -</w:t>
      </w:r>
    </w:p>
    <w:p>
      <w:r>
        <w:rPr>
          <w:b/>
        </w:rPr>
        <w:t>E. 3.1</w:t>
      </w:r>
    </w:p>
    <w:p>
      <w:r>
        <w:t>Das Bundesgericht hat in dem von den Klägern zitierten Entscheid ausgeführt, Art. 113 ZPO stehe der Zusprechung von Parteientschädigungen "im" Schlichtungsverfahren und nicht "für" das Schlichtungsverfahren entgegen, wes- halb der gesetzliche Wortlaut kein Hindernis gegen die Zusprechung von Partei- entschädigungen für diese Verfahrensphase im Rahmen eines vom ordentlichen Richter in der Sache gefällten Urteils sei (BGE 141 III 20 E. 5.3 = Pra 104 (2015) Nr. 85).</w:t>
      </w:r>
    </w:p>
    <w:p>
      <w:r>
        <w:rPr>
          <w:b/>
        </w:rPr>
        <w:t>E. 3.2</w:t>
      </w:r>
    </w:p>
    <w:p>
      <w:r>
        <w:t>Wie das Bundesgericht festhält, untersagt Art. 113 ZPO es dem or- dentlichen Richter nicht, im Rahmen des Urteils in der Sache Parteientschädigun- gen für das Schlichtungsverfahren zuzusprechen, verpflichtet ihn aber auch nicht dazu. Die Liquidation der im Schlichtungsverfahren entstandenen Parteikosten ist im nachfolgenden Erkenntnisverfahren somit zulässig, aber nicht zwingend. Ent- sprechendes wird auch nicht von den von den Klägern zitierten Autoren postuliert (vgl. ZK ZPO-Jenny, 3. Aufl. 2016, N 5 zu Art. 113 ZPO und ZK ZPO-Honegger, 3. Aufl. 2016, N 10 zu Art. 207 ZPO). Es besteht im ordentlichen Verfahren kein</w:t>
      </w:r>
    </w:p>
    <w:p>
      <w:r>
        <w:t>- 5 - Anspruch auf Parteientschädigung für das Schlichtungsverfahren. Die Rüge der Kläger, die Vorinstanz habe Art. 113 ZPO falsch angewendet, indem sie für das Schlichtungsverfahren keine Parteientschädigung zugesprochen habe, geht damit fehl.</w:t>
      </w:r>
    </w:p>
    <w:p>
      <w:r>
        <w:rPr>
          <w:b/>
        </w:rPr>
        <w:t>E. 4</w:t>
      </w:r>
    </w:p>
    <w:p>
      <w:r>
        <w:t>Gegen die festgesetzte Parteientschädigung erhoben die Kläger beim Obergericht mit Eingabe vom 11. Juli 2016 rechtzeitig Beschwerde. Sie beantra- gen, es sei Ziffer 4 der angefochtenen Verfügung aufzuheben und "die Be- schwerdegegnerin/Beklagte sei zu verpflichten, den Beschwerdeführern/Klägern eine Parteientschädigung gem. beiliegender Kostennote zu bezahlen" (act. 29 S. 2). Beziffert wurde der Antrag nicht. Aus der Kostennote ergibt sich eine Forde- rung von total Fr. 4'973.60 einschliesslich Mehrwertsteuer und Gerichtskostenvor- schuss (act. 32/5).</w:t>
      </w:r>
    </w:p>
    <w:p>
      <w:r>
        <w:rPr>
          <w:b/>
        </w:rPr>
        <w:t>E. 4.1</w:t>
      </w:r>
    </w:p>
    <w:p>
      <w:r>
        <w:t>Die beantragte Parteientschädigung in Höhe von Fr. 4'973.60 setzt sich zusammen aus dem Honorar des klägerischen Rechtsvertreters für Aufwendun- gen im schlichtungsbehördlichen und im mietgerichtlichen Verfahren sowie Bar- auslagen im Umfang von Fr. 3'892.20 zzgl. 8% Mehrwertsteuer und Fr. 770.-- Ge- richtskostenvorschuss. Geltend gemacht wurde ein Zeitaufwand von 12,42 Stun- den (wovon 4,1 Stunden auf das mietgerichtliche Verfahren entfallen) und ein Stundenansatz von Fr. 280.-- (act. 32/5).</w:t>
      </w:r>
    </w:p>
    <w:p>
      <w:r>
        <w:rPr>
          <w:b/>
        </w:rPr>
        <w:t>E. 4.2</w:t>
      </w:r>
    </w:p>
    <w:p>
      <w:r>
        <w:t>Die Entschädigung für die Parteivertretung durch einen Anwalt richtet sich nach der Verordnung über die Anwaltsgebühren (AnwGebV). Bei vermögens- rechtlichen Zivilstreitigkeiten bildet der Streitwert die Grundlage für die Festset- zung der Gebühr (§ 2 Abs. 1 lit. a und § 4 Abs. 1 AnwGebV). Der Zeitaufwand stellt – neben der Schwierigkeit des Falls und der Verantwortung des Anwalts (§ 2 Abs. 1 lit. c - e, § 4 Abs. 2 AnwGebV) – lediglich ein Bemessungskriterium dar und ist nur insoweit zu berücksichtigen, als er auch „notwendig“ war, d.h. sich nicht als übermässig erweist. Anders als im Verhältnis zwischen Anwalt und Klient üblich, bildet der zeitliche Aufwand nicht die Grundlage der Bemessung des Ho- norars, sondern dient der Kontrolle der Angemessenheit der aufgrund anderer Kri- terien festgesetzten Entschädigung. Das Gericht ist nicht verpflichtet, jede einzel- ne Position auf die Notwendigkeit der deklarierten Tätigkeit zu überprüfen.</w:t>
      </w:r>
    </w:p>
    <w:p>
      <w:r>
        <w:t>Der Anspruch auf die Gebühr entsteht mit der Erarbeitung der Begründung oder Beantwortung der Klage, wobei die Gebühr auch den Aufwand für die Teil- nahme an der Hauptverhandlung abdeckt (§ 11 Abs. 1 AnwGebV). Hat eine Partei ihre Vertretung eingehend über den Fall informiert (Instruktion) und wird der Pro- zess in der Folge durch Vergleich, Rückzug oder Anerkennung erledigt, wird die Gebühr auf die Hälfte bis einen Viertel herabgesetzt (§ 11 Abs. 4 AnwGebV).</w:t>
      </w:r>
    </w:p>
    <w:p>
      <w:r>
        <w:t>- 6 -</w:t>
      </w:r>
    </w:p>
    <w:p>
      <w:r>
        <w:rPr>
          <w:b/>
        </w:rPr>
        <w:t>E. 4.3</w:t>
      </w:r>
    </w:p>
    <w:p>
      <w:r>
        <w:t>Bei einem Streitwert von Fr. 3'600.-- beträgt die Grundgebühr Fr. 900.-- (§ 4 Abs. 1 AnwGebV). Da vor Vorinstanz eine Klage ohne Begründung einge- reicht wurde und zufolge Vergleichs auch keine Hauptverhandlung stattgefunden hat, ist nicht zu beanstanden, dass die Vorinstanz die Grundgebühr gestützt auf § 11 Abs. 4 AnwGebV auf die Hälfte bzw. auf Fr. 450.-- (exkl. MwSt) bzw. Fr. 486.-- inkl. MwSt herabgesetzt hat.</w:t>
      </w:r>
    </w:p>
    <w:p>
      <w:r>
        <w:t>Ausgehend vom in § 3 AnwGebV vorgegebenen Rahmen deckt die festge- setzte Entschädigung einen vertretbaren Aufwand (auch unter Einbezug der vor- prozessualen Bemühungen) von etwa zwei Stunden ab und erscheint auch unter diesem Aspekt noch als angemessen, war doch der Aufwand der Kläger im miet- gerichtlichen Verfahren äusserst gering. Sie haben am 14. Dezember 2015 eine unbegründete Klageschrift mit fünf Rechtsbegehren eingereicht (act. 1), welche am 12. Januar 2016 mit einer Kurzbegründung von einer halben Seite ergänzt wurden (act. 8). Nach Einreichung des Vergleichs durch die Beklagte begründe- ten die Kläger sodann mit Eingabe vom 20. Mai 2016 die beantragte Parteient- schädigung in Höhe von Fr. 4'973.60 (act. 18).</w:t>
      </w:r>
    </w:p>
    <w:p>
      <w:r>
        <w:rPr>
          <w:b/>
        </w:rPr>
        <w:t>E. 5</w:t>
      </w:r>
    </w:p>
    <w:p>
      <w:r>
        <w:t>Zusammenfassend ist festzuhalten, dass die von der Vorinstanz fest- gesetzte Entschädigung von Fr. 486.-- inkl. MwSt nach dem Gesagten weder Recht verletzt noch unangemessen erscheint. Die Beschwerde ist somit abzuwei- 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