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ZH_GERICHTE LN100047 vom 17. September 2010</w:t>
      </w:r>
    </w:p>
    <w:p>
      <w:r>
        <w:t>Zh Gerichte, 2010-09-17, DE</w:t>
      </w:r>
    </w:p>
    <w:p>
      <w:r>
        <w:rPr>
          <w:b/>
        </w:rPr>
        <w:t xml:space="preserve">Quelle: </w:t>
      </w:r>
      <w:r>
        <w:t>https://mcp.opencaselaw.ch/entscheid/zh_gerichte_LN100047</w:t>
      </w:r>
    </w:p>
    <w:p>
      <w:r>
        <w:t>FR: ZH_GERICHTE LN100047 du 17 septembre 2010</w:t>
      </w:r>
    </w:p>
    <w:p>
      <w:r>
        <w:t>IT: ZH_GERICHTE LN100047 del 17 settembre 2010</w:t>
      </w:r>
    </w:p>
    <w:p>
      <w:pPr>
        <w:pStyle w:val="Heading2"/>
      </w:pPr>
      <w:r>
        <w:t>Regeste</w:t>
      </w:r>
    </w:p>
    <w:p>
      <w:r>
        <w:t>Prozesskostenvorschuss Rekurs gegen einen Beschluss des Bezirksgerichts Dietikon vom 17. September 2010 (CG100002)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Einreichung der Weisung des Friedensrichteramtes C._____ vom 18. Dezember 2009 (Vi Urk. 1) machte die Klägerin am 25. Januar 2010 bei der Vo- rinstanz eine Klage mit folgendem Rechtsbegehren anhängig (Vi Urk. 2): „1. Der Ehevertrag vom 27. November 2008, erstellt und öffentlich beurkundet durch den Notar Dr. D._____, … [Ort], sei auf die tatsächlich zwischen den Eheleuten besprochene Gütertrennung ab dem 27. November 2008 auf die Zukunft hin zu beschränken und somit in folgendem Sinne teilweise aufzuhe- ben.</w:t>
      </w:r>
    </w:p>
    <w:p>
      <w:r>
        <w:t>Die Ziffern 2 und 4 und 5 seien in folgendem Sinne abzuändern bzw. aufzu- heben: Ziffer 2 In Abänderung des bisherigen gesetzlichen Güterstandes unter- stellen wir uns durch diesen Vertrag ab aktuellem Datum der Gü- tertrennung gemäss Art. 247 ff. ZGB. Die Litera a) und b) sind zu streichen. Litera c) ist als neue Litera a) in diesem Sinne, auf die Zukunft gerichtet, beizubehalten. Ziffer 4 Ist zu streichen. Eventualiter ist eine korrekte güterrechtliche Aus- einandersetzung durchzuführen und das Resultat festzuhalten. Ziffer 5 Ist zu streichen. Eventualiter ist festzuhalten, dass mit Vollzug der güterrechtlichen Auseinandersetzung die Parteien auseinander- gesetzt sind.</w:t>
      </w:r>
    </w:p>
    <w:p>
      <w:r>
        <w:rPr>
          <w:b/>
        </w:rPr>
        <w:t>E. 2</w:t>
      </w:r>
    </w:p>
    <w:p>
      <w:r>
        <w:t>Nach dem ersten Schriftenwechsel wies die Vorinstanz mit Beschluss vom 17. September 2010 das Gesuch der Klägerin um Zusprechung eines Prozess- kostenvorschusses und eventualiter um Gewährung der unentgeltlichen Rechts- pflege (Prozessführung und Rechtsverbeiständung) ab (Urk. 3).</w:t>
      </w:r>
    </w:p>
    <w:p>
      <w:r>
        <w:rPr>
          <w:b/>
        </w:rPr>
        <w:t>E. 3</w:t>
      </w:r>
    </w:p>
    <w:p>
      <w:r>
        <w:t>Der Klägerin sei die unentgeltliche Rechtspflege zu gewähren und die Unter- zeichnende als unentgeltliche Rechtsvertreterin zu ernennen.“</w:t>
      </w:r>
    </w:p>
    <w:p>
      <w:r>
        <w:rPr>
          <w:b/>
        </w:rPr>
        <w:t>E. 4</w:t>
      </w:r>
    </w:p>
    <w:p>
      <w:r>
        <w:t>Mit Eingabe vom 25. Oktober 2010 präzisierte die Klägerin ihre Rekursan- träge im Sinne der Präsidialverfügung vom 7. Oktober 2010 wie folgt (Urk. 7 und 8): „a) Der Klägerin sei ein Prozesskostenvorschuss vom Rekursgegner für den vor- liegenden Rekurs vor Obergericht von mindestens Fr. 2'500.– (zuzüglich MWST) gutzusprechen; b) eventualiter und subsidiär sei ihr die unentgeltliche Rechtspflege zu gewähren und die Unterzeichnende als unentgeltliche Rechtsvertreterin zu ernennen.“</w:t>
      </w:r>
    </w:p>
    <w:p>
      <w:r>
        <w:rPr>
          <w:b/>
        </w:rPr>
        <w:t>E. 5</w:t>
      </w:r>
    </w:p>
    <w:p>
      <w:r>
        <w:t>Am 27. Oktober 2010 verzichtete die Vorinstanz auf Vernehmlassung (Urk. 12).</w:t>
      </w:r>
    </w:p>
    <w:p>
      <w:r>
        <w:rPr>
          <w:b/>
        </w:rPr>
        <w:t>E. 6</w:t>
      </w:r>
    </w:p>
    <w:p>
      <w:r>
        <w:t>Innert einmal erstreckter Frist erstattete der Beklagte die Rekursantwort und beantragte die kostenfällige Abweisung des Rekurses (Urk. 14).</w:t>
      </w:r>
    </w:p>
    <w:p>
      <w:r>
        <w:rPr>
          <w:b/>
        </w:rPr>
        <w:t>E. 7</w:t>
      </w:r>
    </w:p>
    <w:p>
      <w:r>
        <w:t>Der von der Klägerin gestellte Eventualantrag, wonach der vorinstanzliche Beschluss aufzuheben und „zur Neubeurteilung zu gegebener Zeit an die Vo- rinstanz zurückzuweisen sei“ (Urk. 2 S. 2; Urk. 20 S. 2 und 4 f.), ist auch abzuwei- sen: Wie aus der vor Vorinstanz eingereichten Klageschrift hervorgeht, ist zwi- schen den Parteien ein Scheidungsverfahren seit Dezember 2009 hängig (Vi Urk. 2 S. 3). Gegenstand des vorinstanzlichen Verfahrens ist die Gültigkeit des zwischen den Parteien geschlossenen Ehevertrages. Es ist dem Beklagten in sei- nem Vorbringen zuzustimmen (Urk. 14 S. 3), dass die Frage der Gültigkeit des Ehevertrages eine Vorfrage für die im Scheidungsverfahren vorzunehmende gü- terrechtliche Auseinandersetzung ist und deshalb vorab zu entscheiden ist.</w:t>
      </w:r>
    </w:p>
    <w:p>
      <w:r>
        <w:t>- 9 - IV. 1. Die Klägerin beantragte, der Beklagte sei zur Leistung eines Prozesskosten- vorschusses für das Rekursverfahren zu verpflichten, eventualiter sei ihr die un- entgeltliche Rechtspflege zu gewähren (Urk. 8 S. 2). Dieser Haupt- und Eventu- alantrag sind abzuweisen, da die Erhebung des Rekurses als aussichtslos zu be- zeichnen ist: Der vorinstanzliche Beschluss vom 17. September 2010 ist, wie er- wähnt, sorgfältig begründet und überzeugend. Die Klägerin setzte sich in der Re- kursschrift nicht direkt mit den vorinstanzlichen Erwägungen auseinander, son- dern verweist pauschal auf die vor Vorinstanz eingereichte Klageschrift (Urk. 2 S. 3; Urk. 20 S. 3; Urk. 4/3 = Vi Urk. 13) und wiederholt einzelne Argumente (Urk. 20 S. 3 ff.), welche mit der Begründung des vorinstanzlichen Beschlusses entkräftet sind (Urk. 3 S. 4 f. und 7 ff.). 2. Da die Klägerin mit ihrem Rekurs unterliegt, wird sie kosten- und entschädi- gungspflichtig (§ 64 Abs. 2 ZPO/ZH; § 68 Abs. 1 ZPO/ZH). Die Prozessentschä- digung ist auf Fr. 2'000.– zuzüglich Fr. 152.– (7,6% Mehrwertsteuer) zu bemes- sen (§ 25 AnwGebV; §§ 2, 3, 7, 12 und 14 aAnwGebV).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