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LF160057 vom 15. August 2016</w:t>
      </w:r>
    </w:p>
    <w:p>
      <w:r>
        <w:t>Zh Gerichte, 2016-08-15, DE</w:t>
      </w:r>
    </w:p>
    <w:p>
      <w:r>
        <w:rPr>
          <w:b/>
        </w:rPr>
        <w:t xml:space="preserve">Quelle: </w:t>
      </w:r>
      <w:r>
        <w:t>https://mcp.opencaselaw.ch/entscheid/zh_gerichte_LF160057</w:t>
      </w:r>
    </w:p>
    <w:p>
      <w:r>
        <w:t>FR: ZH_GERICHTE LF160057 du 15 août 2016</w:t>
      </w:r>
    </w:p>
    <w:p>
      <w:r>
        <w:t>IT: ZH_GERICHTE LF160057 del 15 agosto 2016</w:t>
      </w:r>
    </w:p>
    <w:p>
      <w:pPr>
        <w:pStyle w:val="Heading2"/>
      </w:pPr>
      <w:r>
        <w:t>Regeste</w:t>
      </w:r>
    </w:p>
    <w:p>
      <w:r>
        <w:t>Ausweisung Berufung gegen ein Urteil des Einzelgerichtes im summarischen Verfahren des Bezirksgerichtes Dielsdorf vom 15. August 2016 (ER160025)</w:t>
      </w:r>
    </w:p>
    <w:p>
      <w:pPr>
        <w:pStyle w:val="Heading2"/>
      </w:pPr>
      <w:r>
        <w:t>Erwägungen</w:t>
      </w:r>
    </w:p>
    <w:p>
      <w:r>
        <w:rPr>
          <w:b/>
        </w:rPr>
        <w:t>E. 1</w:t>
      </w:r>
    </w:p>
    <w:p>
      <w:r>
        <w:t>sowie die Gesuchsgegnerin und Berufungsklägerin 2 (fortan Berufungsklägerin 2) (act. 1 S. 3; act. 4/11 S. 3). Auf ein erstes Ausweisungsbegehren der Gesuch- stellerin und Berufungsbeklagten (fortan Berufungsbeklagte) vom 7. Dezember 2015 trat die Kammer mit Entscheid vom 3. Mai 2016 nicht ein, da die Zahlungs-</w:t>
      </w:r>
    </w:p>
    <w:p>
      <w:r>
        <w:t>- 4 - aufforderung sowie die Kündigung lediglich an die Berufungsklägerin 1 nicht je- doch auch an die Berufungsklägerin 2 gerichtet war (act. 4/11 S. 11 ff.).</w:t>
      </w:r>
    </w:p>
    <w:p>
      <w:r>
        <w:rPr>
          <w:b/>
        </w:rPr>
        <w:t>E. 2</w:t>
      </w:r>
    </w:p>
    <w:p>
      <w:r>
        <w:t>Noch vor Eröffnung des obergerichtlichen Entscheids mahnte die Berufungs- beklagte mit Schreiben vom 19. April 2016 nunmehr beide Berufungsklägerinnen für ausstehende Mietzinse im Gesamtbetrag von Fr. 26'293.– ab. Sie forderte die Berufungsklägerinnen darin weiter auf, den ausstehenden Betrag umgehend zu überweisen. Sofern die Zahlung nicht innert 30 Tagen erfolgen würde, werde das Mietverhältnis gestützt auf Art. 257d OR ausserordentlich gekündigt. Weiter legte sie der Zahlungsaufforderung eine detaillierte Aufstellung der offenen Mietzinse bei (act. 4/12). Das Schreiben wurde der Berufungsklägerin 2 am 20. April 2016 (act. 4/13/2) und der Berufungsklägerin 1 am 27. April 2016 (act. 4/13/1 i.V.m. act. 4/14; BGE 119 II 147, E. 2) zugestellt. Mit amtlichem Formular vom 28. Mai 2016 sprach die Berufungsbeklagte gegenüber den Berufungsklägerinnen die ausserordentliche Kündigung des Mietverhältnisses per 30. Juni 2016 aus (act. 4/16). Die Schreiben wurden den Berufungsklägerinnen je am 30. Mai 2016 zugestellt (act. 4/17/1-2).</w:t>
      </w:r>
    </w:p>
    <w:p>
      <w:r>
        <w:rPr>
          <w:b/>
        </w:rPr>
        <w:t>E. 3</w:t>
      </w:r>
    </w:p>
    <w:p>
      <w:r>
        <w:t>Am 4. Juli 2016 stellte die Berufungsbeklagte beim Bezirksgericht Dielsdorf (nachfolgend Vorinstanz) das eingangs erwähnte Ausweisungsbegehren (act. 1- 4). Nachdem die Berufungsbeklagte fristgerecht den verlangten (act. 5) Kosten- vorschuss von Fr. 1'600.– geleistet hatte (act. 8), setzte die Vorinstanz den Beru- fungsklägerinnen Frist an, um zum Ausweisungsbegehren Stellung zu nehmen (act. 10). Nach Eingang der Stellungnahme samt Beilagen (act. 12-15) und Nach- reichung der Beilagedoppel (act. 16 sowie act. 19 S. 2), hiess die Vorinstanz das Ausweisungsbegehren mit Urteil vom 15. August 2016 gut und verpflichtete die Berufungsklägerinnen unter Androhung der Zwangsvollstreckung im Unter- lassungsfalle, das Mietobjekt unverzüglich zu räumen, ordnungsgemäss zu ver- lassen und der Berufungsbeklagten zu übergeben (act. 17 = act. 19 = act. 21). Das Urteil wurde am 13. September 2016 zugestellt (act. 17 a.E.).</w:t>
      </w:r>
    </w:p>
    <w:p>
      <w:r>
        <w:rPr>
          <w:b/>
        </w:rPr>
        <w:t>E. 3.1</w:t>
      </w:r>
    </w:p>
    <w:p>
      <w:r>
        <w:t>Mit der Berufung können die unrichtige Rechtsanwendung und die unrichtige Feststellung des Sachverhaltes geltend gemacht werden (Art. 310 ZPO). Die Be- rufung erhebende Partei hat konkrete Anträge zu stellen und zu begründen. Sie hat sich hierbei mit der Begründung des vorinstanzlichen Entscheides auseinan- derzusetzen und anzugeben, an welchen Mängeln der angefochtene Entscheid ihrer Ansicht nach leidet. (vgl. im Einzelnen ZK ZPO-Reetz/Theiler, 3. Aufl. 2016, Art. 311 N 33 ff.).</w:t>
      </w:r>
    </w:p>
    <w:p>
      <w:r>
        <w:rPr>
          <w:b/>
        </w:rPr>
        <w:t>E. 3.2</w:t>
      </w:r>
    </w:p>
    <w:p>
      <w:r>
        <w:t>Die Berufungsklägerinnen beanstanden, dass die Vorinstanz keinen klaren Fall im Sinne von Art. 257 Abs. 1 ZPO hätte annehmen dürfen. So sei die Forde- rungshöhe der Mietzinsausstände nicht nachvollziehbar. In den Zahlungsandro- hungen sei jeweils nur die Summe der Ausstände, nicht jedoch deren Zusammen- setzung genannt. Überdies hätten sie der Berufungsbeklagten – entgegen deren Darstellung – am 13. Juni 2013 Fr. 10'758.25 und am 25. September 2014 Fr. 10'000.– bezahlt. Seit Mai 2016 werde der laufende Mietzins überdies ord- nungsgemäss beglichen. Die Berufungsbeklagte habe das Ausweisungsbegehren zu spät gestellt. Durch die Annahme der Mietzinszahlungen sei ein neuer Miet- vertrag zu Stande gekommen. Zudem seien vom 4. Juli 2016 bis am 26. August 2016 Umbauarbeiten am Dachstock der Liegenschaft vorgenommen worden, für welche den Berufungsklägerinnen eine angemessene Mietzinsreduktion zustehe. Auch sei der Mietzins nicht an den gesunkenen Referenzzinssatz angepasst wor- den (act. 20 S. 2 ff.).</w:t>
      </w:r>
    </w:p>
    <w:p>
      <w:r>
        <w:t>- 7 - III. 1. Es fällt zunächst auf, dass sich die Berufungsschrift (act. 20) fast wortwört- lich mit der Stellungnahme vor der Vorinstanz deckt (act. 12). Die blosse Wieder- holung des vor Vorinstanz Vorgebrachten ist jedoch ungenügend und hat i.d.R. mangels rechtsgenüglicher Auseinandersetzung mit dem vorinstanzlichen Ent- scheid das Nichteintreten auf das Rechtsmittel zur Folge (ZK ZPO-Reetz/Theiler, 3. Aufl. 2016, Art. 311 N 36). Davon kann vorliegend allerdings abgesehen wer- den, da die Berufung in jedem Fall inhaltlich unbegründet ist. 2. Um unnötige Wiederholungen zu vermeiden, kann hinsichtlich der allgemei- nen Ausführungen zum Rechtsschutz in klaren Fällen nach Art. 257 ZPO sowie zur Zahlungsverzugskündigung im Sinne von Art. 257d OR auf die zutreffenden Erwägungen der Vorinstanz verwiesen werden (act. 19 E. III./1.1 f., S. 4 f.). Es ist hervorzuheben, dass für den Entscheid über das Ausweisungsbegehren einzig entscheidend ist, ob sich die Berufungsklägerinnen zu Recht im Mietobjekt auf- halten oder ob sie nach einer gültigen Kündigung ohne Rechtsgrund im Mietobjekt verblieben sind. Die Vorbringen der Berufungsklägerinnen zu ihrer persönlichen Situation, dass sie nach dem Tod von F._____ eine schwere Zeit durchgemacht hätten, beide gesundheitlich stark angeschlagen seien und eine Rente der Beru- fungsklägerin 1 durch das zuständige Betreibungsamt zunächst widerrechtlich gepfändet worden sei (act. 20 S. 3 f.), sind für die Beurteilung der Streitsache – mögen sie auch teilweise nachvollziehbar sein – nicht relevant und damit nicht weiter zu beachten. 3. Auch vor der Rechtsmittelinstanz stellen die Berufungsklägerinnen zu Recht nicht in Frage, dass die Zahlungsaufforderung und Kündigungsandrohung vom 19. April 2016 sowie die Kündigung vom 28. Mai 2016 in Anwendung von Art. 257d OR form- und fristgerecht erfolgten. Ebenso stellen sie nicht in Abrede, dass seit Juni 2013 Mietzinse ausstehend seien. Die Behauptung der Berufungs- klägerinnen, dass sie die Forderungshöhe von Fr. 26'293.– nicht verstehen könn- ten, da ihnen deren detaillierte Zusammensetzung nicht genannt worden sei</w:t>
      </w:r>
    </w:p>
    <w:p>
      <w:r>
        <w:t>- 8 - (act. 20 S. 2), ist angesichts der klaren Aktenlage unzutreffend. Die Berufungs- beklagte stellte ihnen zusammen mit der Zahlungsaufforderung und Kündigungs- androhung vom 19. April 2016 eine monatsgenaue Zusammenstellung der be- zahlten und nicht bezahlten Mietzinse seit Juni 2013 bis April 2016 zu (act. 4/12). Entgegen der Darstellung der Berufungsklägerinnen (act. 20 S. 2) berücksichtigt die Aufstellung auch die Nachzahlung von Fr. 10'000.– Ende September 2014 (act. 4/12/1-2, jeweils S. 4). Die ebenso geleistete Nachzahlung von Fr. 10'758.25 im Juni 2013, auf die sich die Berufungsklägerinnen weiter beziehen (act. 2 S. 2; vgl. auch act. 14/2), beglich die Ausstände bis Juni 2013 (act. 14/1a), was sogar die Berufungsklägerinnen selbst bestätigen (act. 2 S. 2). Die Berufungsbeklagte genügte mit dem Schreiben vom 19. Mai 2016 den hohen inhaltlichen Anforde- rungen (vgl. dazu etwa BGer, 4A_306/2015 vom 14. Oktober 2015, E. 2; 4A_134/2011 vom 23. Mai 2011, E. 3 sowie OGer ZH, LF150075 vom 18. Januar 2016, E. 7.1 m.w.H.) an eine klar und deutlich abgefasste Zahlungsaufforderung und Kündigungsandrohung nach Art. 257d Abs. 1 OR. Für die Berufungskläge- rinnen war damit ohne Weiteres erkennbar, welche Beträge zur Abwendung der Kündigung bezahlt werden müssen. Das Argument, dass ihnen die genaue Zu- sammensetzung der abgemahnten Forderung nicht bekannt gewesen sei, zielt ins Leere. 4. Eine Kündigung nach Art. 257d Abs. 2 OR ist – wie jede Kündigung bei der Miete von Wohnräumen – nach Art. 271 f. OR anfechtbar (vgl. statt vieler BGE 120 II 31, E. 4 sowie ZK-Higi, N 58 zu Art. 257d m.w.H.). Bereits vor der Vor- instanz wiesen die Berufungsklägerinnen darauf hin, dass sie die Kündigung vom 28. Mai 2016 ordentlich angefochten hätten und das dazu eingeleitete Schlich- tungsverfahren sistiert worden sei (act. 12 S. 2 bzw. S. 4; vgl. insbesondere auch act. 7). Nach der bundesgerichtlichen Rechtsprechung hätte die Vorinstanz die Gültigkeit der Kündigung auch im Lichte von Art. 271 f. OR als Vorfrage und nach den Grundsätzen von Art. 243 ff. ZPO prüfen müssen (BGE 117 II 554, E. 2; 118 II 302, E. 4b; 141 III 262, E. 3.2 mit zahlreichen Hinweisen; BGer, 6A_636/2015 vom 21. Juni 2016, E. 2.5 [zur Publikation vorgesehen] sowie zuletzt BGer, 4A_100/2016 vom 13. Juli 2016, E. 2.2.4). Die Vorinstanz machte in ihrem Ent-</w:t>
      </w:r>
    </w:p>
    <w:p>
      <w:r>
        <w:t>- 9 - scheid keine Ausführungen dazu (act. 19 S. 2 ff.). Dieses Säumnis kann ihr je- doch nicht vorgeworfen werden, weil es die Berufungsklägerinnen vor der Rechtsmittelinstanz unterlassen, eine entsprechende Rüge vorzubringen, und le- diglich erwähnen, sie hätten die Kündigung denn auch angefochten, weil sie sie für unzulässig hielten (act. 20 S. 3). Der Kammer ist eine dahingehende Prüfung damit verwehrt. Eine treuwidrige Kündigung wäre im Übrigen auch nicht ersicht- lich: Einerseits liessen die Berufungsklägerinnen vor der Vorinstanz jede Substan- tiierung zur Treuwidrigkeit vermissen und begnügten sich mit einem blossen Ver- weis auf das sistierte Schlichtungsverfahren (act. 12 S. 2 bzw. S. 4). Andererseits ist es zulässig, das Verfahren der Zahlungsverzugskündigung korrekt zu wieder- holen, wenn auf ein Ausweisungsbegehren "im ersten Anlauf" – wie vorliegend (act. 4/11 S. 12 f.) – wegen Formmängeln nicht eingetreten worden war (vgl. zu- letzt BGE 141 III 101, E. 2.8 m.w.H.). Ferner sind weitere, im Rahmen der Zah- lungsverzugskündigung noch denkbare (für eine beispielhafte Aufzählung vgl. et- wa Lachat et al., Das Mietrecht für die Praxis, 8. Aufl., Zürich 2009, S. 546 f.), An- fechtungsgründe i.S.v. Art. 271 f. OR nicht ersichtlich.</w:t>
      </w:r>
    </w:p>
    <w:p>
      <w:r>
        <w:rPr>
          <w:b/>
        </w:rPr>
        <w:t>E. 4</w:t>
      </w:r>
    </w:p>
    <w:p>
      <w:r>
        <w:t>Mit Eingabe vom 23. September 2016 (Datum Poststempel) erhoben die Be- rufungsklägerinnen fristgerecht Berufung gegen das vorinstanzliche Urteil</w:t>
      </w:r>
    </w:p>
    <w:p>
      <w:r>
        <w:t>- 5 - (act. 20). Bereits am 19. September 2016 hatte die Berufungsbeklagte der Kam- mer eine Eingabe samt Beilagen (act. 23 sowie act. 24/1-3) mit folgenden pro- zessualen Anträgen eingereicht (act. 23 S. 1): "1. Die Klägerinnen seien solidarisch zu verpflichten, nach Art. 99 ZPO eine Si- cherheit für die Parteientschädigung des zweitinstanzlichen Berufungsverfah- rens in der Höhe von Fr. 2'019.60 zu leisten. 2. Bis die verlangte Parteikostensicherstellung eingegangen ist, sei mit der An- setzung der Frist zur Erstattung der Berufungsantwort zuzuwarten.</w:t>
      </w:r>
    </w:p>
    <w:p>
      <w:r>
        <w:rPr>
          <w:b/>
        </w:rPr>
        <w:t>E. 5</w:t>
      </w:r>
    </w:p>
    <w:p>
      <w:r>
        <w:t>Schriftliche Mitteilung an die Parteien, an die Berufungsbeklagte unter Bei- lage des Doppels von act. 20, an die Berufungsklägerinnen unter Beilage des Doppels von act. 23, sowie an das Bezirksgericht Dielsdorf und an die Obergerichtskasse, je gegen Empfangsschein.</w:t>
      </w:r>
    </w:p>
    <w:p>
      <w:r>
        <w:t>- 12 -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12'786.–. Die Beschwerde an das Bundesgericht hat keine aufschiebende Wirkung.</w:t>
      </w:r>
    </w:p>
    <w:p>
      <w:r>
        <w:t>Obergericht des Kantons Zürich II. Zivilkammer Der Gerichtsschreiber:</w:t>
      </w:r>
    </w:p>
    <w:p>
      <w:r>
        <w:t>MLaw P. Klaus</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