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LB210060 vom 21. Februar 2022</w:t>
      </w:r>
    </w:p>
    <w:p>
      <w:r>
        <w:t>Zh Gerichte, 2022-02-21, DE</w:t>
      </w:r>
    </w:p>
    <w:p>
      <w:r>
        <w:rPr>
          <w:b/>
        </w:rPr>
        <w:t xml:space="preserve">Quelle: </w:t>
      </w:r>
      <w:r>
        <w:t>https://mcp.opencaselaw.ch/entscheid/zh_gerichte_LB210060</w:t>
      </w:r>
    </w:p>
    <w:p>
      <w:r>
        <w:t>FR: ZH_GERICHTE LB210060 du 21 février 2022</w:t>
      </w:r>
    </w:p>
    <w:p>
      <w:r>
        <w:t>IT: ZH_GERICHTE LB210060 del 21 febbraio 2022</w:t>
      </w:r>
    </w:p>
    <w:p>
      <w:pPr>
        <w:pStyle w:val="Heading2"/>
      </w:pPr>
      <w:r>
        <w:t>Regeste</w:t>
      </w:r>
    </w:p>
    <w:p>
      <w:r>
        <w:t>Persönlichkeitsverletzung</w:t>
      </w:r>
    </w:p>
    <w:p>
      <w:pPr>
        <w:pStyle w:val="Heading2"/>
      </w:pPr>
      <w:r>
        <w:t>Erwägungen</w:t>
      </w:r>
    </w:p>
    <w:p>
      <w:r>
        <w:rPr>
          <w:b/>
        </w:rPr>
        <w:t>E. 1</w:t>
      </w:r>
    </w:p>
    <w:p>
      <w:r>
        <w:t>Im Berufungsverfahren bestreitet die Beklagte nicht, dass sie mit dem Schreiben vom 4. Juni 2018 die Persönlichkeit des Klägers widerrechtlich verletzt hat, wie dies die Vorinstanz festgestellt hat (Urk. 69 S. 10-13). Es besteht kein An- lass, auf diese Feststellung von Amtes wegen zurück zu kommen.</w:t>
      </w:r>
    </w:p>
    <w:p>
      <w:r>
        <w:rPr>
          <w:b/>
        </w:rPr>
        <w:t>E. 2</w:t>
      </w:r>
    </w:p>
    <w:p>
      <w:r>
        <w:t>Die Vorinstanz erwog zutreffend, ein Anspruch auf Unterlassung von Per- sönlichkeitsverletzungen sei gegeben, wenn der Kläger von einer Störung seines Persönlichkeitsrechts bedroht werde (Art. 28a Abs. 1 Ziff. 1 ZGB). Ein Unterlas- sungsbegehren setze ein aktuelles Rechtsschutzinteresse voraus, welches auch noch im Zeitpunkt der Urteilsfällung bestehen müsse und nur anzunehmen sei, wenn künftige Verletzungen ernstlich zu befürchten seien. Die Beurteilung, ob ei- ne Verletzung begangen oder wiederholt werde, sei nach objektiven Kriterien vor- zunehmen (Urk. 69 S. 13).</w:t>
      </w:r>
    </w:p>
    <w:p>
      <w:r>
        <w:rPr>
          <w:b/>
        </w:rPr>
        <w:t>E. 3</w:t>
      </w:r>
    </w:p>
    <w:p>
      <w:r>
        <w:t>a) Die Vorinstanz bejahte die Wiederholungsgefahr. Die Behauptung des Klägers, dass die Beklagte die Rechtswidrigkeit ihres Verhaltens im Verfahren be- treffend vorsorgliche Massnahmen bestritten bzw. nicht eingesehen habe, sei un- bestritten geblieben. Auch im Verfahren betreffend vorsorgliche Massnahmen sei die Wiederholungsgefahr damit bejaht worden, dass die Beklagte die Widerrecht- lichkeit ihrer Anschuldigungen "in keinster Weise" eingesehen habe. Das Bun- desgericht habe wiederholt festgehalten, dass eine Wiederholungsgefahr in der Regel schon dann angenommen werden dürfe, wenn ein Beklagter die Wider- rechtlichkeit des beanstandeten Verhaltens bestreite, sei doch dann zu vermuten, dass er es im Vertrauen auf dessen Rechtmässigkeit weiterführen werde (BGE</w:t>
      </w:r>
    </w:p>
    <w:p>
      <w:r>
        <w:t>- 8 - 124 III 72 E. 2a mit Hinweisen, zuletzt in BGer 4A_297/2020 vom 07.09.2020). Die Beklagte habe sich in der Vergangenheit gegenüber einem breiten Adressa- tenkreis persönlichkeitsverletzend über den Kläger geäussert. Sie habe die Rechtswidrigkeit ihres Handelns im vorangehenden Verfahren betreffend vorsorg- liche Massnahmen bestritten und aufgrund der Säumnis im Hauptprozess nicht Abstand von ihren Aussagen genommen. Es sei aufgrund der (zahlreichen) noch hängigen Verfahren der Parteien zu befürchten, dass die Beklagte von der Rechtmässigkeit ihres Verhaltens auszugehen scheine und es zu erneuten Ver- breitungen von persönlichkeitsverletzenden Aussagen kommen könnte (Urk. 69 S. 14 f.).</w:t>
      </w:r>
    </w:p>
    <w:p>
      <w:r>
        <w:t>b) Die Beklagte macht geltend, die Vorinstanz sei zu Unrecht von einer Wie- derholungsgefahr ausgegangen und hätte das erforderliche aktuelle Rechts- schutzinteresse verneinen müssen (Urk. 68 S. 5 ff.).</w:t>
      </w:r>
    </w:p>
    <w:p>
      <w:r>
        <w:t>aa) Die Beklagte behauptet, die streitgegenständlichen Aussagen seit dem Brief vom 4. Juni 2018 nicht (mehr) verbreitet zu haben. Im Massnahmenverfah- ren habe sie klar ausgesagt, dass sie die Aussagen nicht mehr verbreiten werde. Daraus und aus ihrem Verhalten vorher und nachher habe gefolgert werden kön- nen, dass sie die gegenständlichen Äusserungen wahrscheinlich nicht weiterver- breiten werde (Urk. 68 S. 5 und 7). Diese Behauptungen der Beklagten sind neu und damit unzulässig (s. vorn E. II Abs. 2).</w:t>
      </w:r>
    </w:p>
    <w:p>
      <w:r>
        <w:t>bb) Weiter stellt sich die Beklagte auf den Standpunkt, gemäss Bundesge- richt (BGE 124 III 72 E. 2a) sei eine Wiederholungsgefahr in der Regel zu beja- hen, wenn die beklagte Partei im betreffenden Verfahren die Rechtmässigkeit des gegenständlichen Verhaltens behaupte resp. dessen Widerrechtlichkeit bestreite, weil diesfalls zu vermuten sei, dass diese Partei ihr Verhalten im Vertrauen auf dessen Rechtmässigkeit weiterführen werde. Diese Voraussetzung sei im vor- instanzlichen Verfahren aber gerade nicht erfüllt gewesen. Die Vorinstanz berufe sich darauf, dass die Beklagte die Widerrechtlichkeit ihres Handelns im vorange- henden Massnahmenverfahren bestritten habe. Im vorinstanzlichen Verfahren sei die Widerrechtlichkeit unstreitig nicht bestritten worden. Zudem habe im Mass- nahmenverfahren die Wiederholungsgefahr nur glaubhaft gemacht werden müs-</w:t>
      </w:r>
    </w:p>
    <w:p>
      <w:r>
        <w:t>- 9 - sen. Aufgrund des im ordentlichen Verfahren geltenden Regelbeweismasses hät- te sich die Vorinstanz nicht auf den Umstand abstützen dürfen, dass die Wieder- holungsgefahr im Massnahmenverfahren bejaht worden sei (Urk. 68 S. 6 f.).</w:t>
      </w:r>
    </w:p>
    <w:p>
      <w:r>
        <w:t>Die Einwände der Beklagten überzeugen nicht. Das Bundesgericht hat in BGE 124 III 72 E. 2a die Wiederholungsgefahr bejaht mit der Begründung, die dortige Klägerin habe eine vorsorgliche Massnahme im Sinne von Art. 14 UWG erwirkt und diese gemäss Art. 14 UKWG in Verbindung mit Art. 28e Abs. 2 ZGB fristgemäss prosequieren müssen, sofern die Beklagte die Rechtswidrigkeit ihrer beabsichtigten Handlung nicht ausdrücklich zugestanden habe. In der Hauptver- handlung habe die Beklagte eine förmliche Abstandserklärung nicht abgegeben und an der Rechtmässigkeit festgehalten. Vorliegend ist davon auszugehen, dass die Beklagte im Massnahmenverfahren die Widerrechtlichkeit der Anschuldigun- gen "in keinster Weise" eingesehen hat (Urk. 1 S. 17 Rz 57; Urk. 11/1 S. 6 E. 3.2; Urk. 69 S. 14 f.). Vor Vorinstanz hat die Beklagte diese Darstellung des Klägers nicht bestritten und weder eine Abstandserklärung abgegeben noch die Rechts- widrigkeit der Äusserungen anerkannt. Weiter spielt für die Frage, ob die Beklagte die Widerrechtlichkeit ihres Tuns eingestanden hat oder nicht, die Verfahrensart bzw. das Beweismass keine Rolle, da darüber keine Beweise zu erheben waren.</w:t>
      </w:r>
    </w:p>
    <w:p>
      <w:r>
        <w:t>cc) Die Beklagte bestreitet, dass aufgrund der zahlreichen noch hängigen Verfahren der Parteien gefolgert werden könne, dass sie von der Rechtmässigkeit ihres Verhaltens auszugehen scheine und es zu erneuten Verbreitungen von per- sönlichkeitsverletzenden Aussagen kommen könnte (Urk. 68 S. 7).</w:t>
      </w:r>
    </w:p>
    <w:p>
      <w:r>
        <w:t>In der Tat ist nicht nachvollziehbar, weshalb aufgrund hängiger – im ange- fochtenen Urteil und in der Klagebegründung mit Ausnahme der Unterhaltsklage und einer Intensivabklärung KOFA nicht näher spezifizierter – Verfahren zwischen den Parteien die Beklagte von der Rechtmässigkeit ihres Verhaltens ausgehen sollte (Urk. 69 S. 6 ff. und S. 15). Auch ohne dieses Argument durfte die Vorin- stanz aber aufgrund des Verhaltens der Beklagten im Massnahmen- und im vor- instanzlichen Verfahren von einer Wiederholungsgefahr ausgehen.</w:t>
      </w:r>
    </w:p>
    <w:p>
      <w:r>
        <w:t>- 10 -</w:t>
      </w:r>
    </w:p>
    <w:p>
      <w:r>
        <w:rPr>
          <w:b/>
        </w:rPr>
        <w:t>E. 4</w:t>
      </w:r>
    </w:p>
    <w:p>
      <w:r>
        <w:t>a) Die Beklagte rügt eine Verletzung von Art. 223 Abs. 2 ZPO. Bei fehlen- der Spruchreife nach Säumnis der beklagten Partei sei eine Hauptverhandlung durchzuführen. Es habe keine Spruchreife im Sinne einer Klagegutheissung vor- gelegen. Der vom Kläger behauptete (und von ihm zu beweisende) Unterlas- sungsanspruch sei zumindest zweifelhaft gewesen, insbesondere mit Bezug auf die entscheidende Sachverhaltsfrage der ernsten und naheliegenden Gefahr ei- ner Verletzung. Dies gelte umso mehr, als der Unterlassungsanspruch vorwie- gend präventive Zwecke verfolge, weshalb dem Anspruch nur mit grosser Zu- rückhaltung stattzugeben sei. Die fehlende Spruchreife könnte auch mit dem Rechtsbegehren des Klägers begründet werden. Die Vorinstanz habe etwa das zweite Rechtsbegehren als "zu unbestimmt" qualifiziert. Die verwendeten Begriffe seien "stark auslegungsbedürftig". Das erste Rechtsbegehren habe die Vo- rinstanz als zu weitgreifend qualifiziert und es (faktisch) abgewiesen. Die Vo- rinstanz hätte von Amtes wegen Beweise erheben können. Die Frage der Wie- derholungsgefahr hätte etwa durch eine Befragung der Beklagten geklärt werden können. Zusätzlich hätte bei Bedarf auch eine Drittperson, welche mit der damali- gen Situation und Haltung der Beklagten vertraut gewesen sei, befragt werden können. Dies wäre im Fall einer Rückweisung an die Vorinstanz oder allenfalls im Rahmen einer Berufungsverhandlung nachzuholen. Zugleich hätte dem Kläger Gelegenheit gegeben werden können, die Klage zu präzisieren, z.B. durch Rück- zug des ersten Rechtsbegehrens (Urk. 68 S. 8 f.).</w:t>
      </w:r>
    </w:p>
    <w:p>
      <w:r>
        <w:t>b) Wie bereits dargelegt, hat die Vorinstanz die Wiederholungsgefahr zu Recht bejaht. Die Beklagte legt nicht dar, weshalb die Vorinstanz diesbezüglich von Amtes wegen hätte Beweise erheben sollen. Die Parteibefragung und die Einvernahme von Prof. Dr. E._____ als Zeugin hatte die Beklagte vor Vorinstanz nicht beantragt. Im Berufungsverfahren ist sie damit verspätet (Urk. 68 S. 9; Art. 317 Abs. 1 ZPO). Spruchreife liegt nicht nur vor, wenn die Klage vollständig gut- geheissen werden kann. Spruchreife bedeutet, dass der Spruchkörper sämtliche Entscheidgrundlagen hat, um über die Begründetheit oder Unbegründetheit des geltend gemachten Anspruchs zu befinden oder einen Nichteintretensentscheid zu erlassen (ZK ZPO-Staehelin, Art. 236 N 15; Kriech, DIKE-Komm-ZPO, Art. 236 N 9). Dies war vorliegend der Fall, auch wenn die Vorinstanz die klägerischen</w:t>
      </w:r>
    </w:p>
    <w:p>
      <w:r>
        <w:t>- 11 - Rechtsbegehren nicht vollumfänglich gutgeheissen hat. Die Vorinstanz war nicht verpflichtet, dem anwaltlich vertretenen Kläger Gelegenheit zu geben, seine Rechtsbegehren zu präzisieren oder einzelne davon zurückzuziehen. Ohnehin ist nicht ersichtlich, inwiefern die Beklagte beschwert ist, wenn die Vorinstanz die Klage teilweise abgewiesen hat.</w:t>
      </w:r>
    </w:p>
    <w:p>
      <w:r>
        <w:rPr>
          <w:b/>
        </w:rPr>
        <w:t>E. 5</w:t>
      </w:r>
    </w:p>
    <w:p>
      <w:r>
        <w:t>Da die Beklagte mit ihren Rügen nicht durchdringt, ist das vorinstanzliche Sachurteil (Dispositiv-Ziffern 1-5) zu bestätigen. IV.</w:t>
      </w:r>
    </w:p>
    <w:p>
      <w:r>
        <w:t>1. a) Die Vorinstanz ist davon ausgegangen, dass der Kläger grösstenteils obsiegt habe, und auferlegte die Kosten des Verfahrens inkl. derjenigen des Massnahmenverfahrens zu 4/5 der Beklagten und zu 1/5 dem Kläger. Die Beklag- te wurde überdies verpflichtet, dem Kläger eine reduzierte Parteientschädigung von Fr. 8'000.– zuzüglich 7,7 % MwSt. zu bezahlen.</w:t>
      </w:r>
    </w:p>
    <w:p>
      <w:r>
        <w:t>b) Die Beklagte macht geltend, gestützt auf das Urteil der Vorinstanz hätten die Prozesskosten anders verlegt werden müssen. Es wäre angezeigt gewesen, die Verfahrenskosten grösstenteils (z.B. im Umfang von 80%) dem Kläger aufzu- erlegen und die Prozessentschädigungen wettzuschlagen. Der Kläger sei gröss- tenteils unterlegen. Das erste Rechtsbegehren (Unterlassungsklage) sei abge- wiesen worden. Der Beklagten sei nicht verboten worden, sich an Drittpersonen "zu wenden und Informationen aus den Verfahren zwischen den Parteien weiter- zugeben". Das zweite Rechtsbegehren sei ebenfalls abgewiesen worden. Der Beklagten sei nicht verboten worden, "inhaltlich falsche und realitätsverkennende bzw. realitätsverzerrende, insgesamt ehrverletzende Äusserungen über den Klä- ger zu verbreiten". Das dritte Rechtsbegehren sei gutgeheissen worden, aller- dings nur in einem reduzierten Umfang. Das vierte Rechtsbegehren (Klage auf Zusprechung von Fr. 5'000.– Genugtuung) sei vom Kläger zurückgezogen wor- den. Die vorinstanzliche Feststellung, dass der Kläger bei diesem Ausgang "grösstenteils obsiegt" habe, sei bei diesem Ausgang nicht nachvollziehbar. Das Ermessen sei rechtsfehlerhaft ausgeübt worden. Wenn bei einem anwaltlich ver-</w:t>
      </w:r>
    </w:p>
    <w:p>
      <w:r>
        <w:t>- 12 - tretenen Kläger von vier Hauptbegehren deren zwei abgewiesen würden, u.a. weil sie zu weit und zu unbestimmt formuliert worden seien, wenn das einzige vermö- gensrechtliche Rechtsbegehren zurückgezogen werde und wenn am Ende nur ein einziges Hauptbegehren in einem limitierten Umfang gutgeheissen werde, sei richtigerweise davon auszugehen, dass diese Partei grösstenteils unterlegen sei (Urk. 68 S. 9 f.).</w:t>
      </w:r>
    </w:p>
    <w:p>
      <w:r>
        <w:t>c) Auf Geld gerichtete Begehren sind zu beziffern, jedenfalls soweit sich nicht aus der Begründung ohne Weiteres ergibt, auf welchen Betrag der Rechts- suchende eine Geldleistung festgesetzt wissen will (BGer 5A_983/2020 vom 25.11.2020, E. 2, m.w.H.; BGE 137 III 617 E. 4.3; BGE 143 III 111 E. 1.2).</w:t>
      </w:r>
    </w:p>
    <w:p>
      <w:r>
        <w:t>Die Beklagte beziffert die Höhe der Kostenauflage an den Kläger nicht, son- dern führt beispielhaft 80 % an. Auf den Antrag, die vorinstanzlichen Kosten seien anders zu verlegen, ist daher mangels eines bezifferten Antrags nicht einzutreten.</w:t>
      </w:r>
    </w:p>
    <w:p>
      <w:r>
        <w:t>Wird beantragt, die Prozessentschädigungen (recte: Parteientschädigungen, vgl. Art. 95 Abs. 1 lit. a ZPO) seien wettzuschlagen, entfällt eine Bezifferung. Al- lerdings fehlt eine stringente Begründung für diesen Antrag. Die Beklagte war we- der im Massnahmenverfahren noch im nachfolgenden Prosequierungsverfahren berufsmässig vertreten, weshalb ihr nur eine angemessene Umtriebsentschädi- gung zustünde, wenn dies besonders begründet wäre (Art. 95 Abs. 3 lit. c ZPO). Dazu fehlen jegliche Ausführungen in der Berufungsschrift. Hinzu kommt, dass sie aufgrund ihrer Säumnis im vorinstanzlichen Verfahren ohnehin praktisch keine entschädigungspflichtigen Umtriebe hatte. Der Antrag, die Parteientschädigungen seien wettzuschlagen, ist daher abzuweisen.</w:t>
      </w:r>
    </w:p>
    <w:p>
      <w:r>
        <w:t>Auch bei Anwendung von Art. 106 Abs. 2 ZPO, wonach die Prozesskosten nach dem Ausgang des Verfahrens verteilt werden, wenn keine Partei vollständig obsiegt hat, ist die Kostenregelung der Vorinstanz im Rahmen des ihr zustehen- den Ermessens nicht zu beanstanden. Bei nicht vermögensrechtlichen Streitigkei- ten ist das Ausmass des Obsiegens nach Ermessen festzulegen, wobei das Ge- wicht einzelner Rechtsbegehren unterschiedlich sein kann und einem Grundsatz- entscheid mehr Bedeutung zukommen kann als den einzelnen untergeordneten</w:t>
      </w:r>
    </w:p>
    <w:p>
      <w:r>
        <w:t>- 13 - Rechtsbegehren (Urwyler/Grütter, DIKE-Komm-ZPO, Art. 106 N 6). Vorliegend hat der Kläger dem Grundsatz nach obsiegt und hat die Vorinstanz das an die Beklagte gerichtete Verbot, sich nachteilig über den Kläger zu äussern, lediglich zeitlich und inhaltlich eingeschränkt. Der Rückzug der auf Fr. 5'000.– bezifferten Genugtuungsforderung erfolgte bereits am 11. Januar 2019 (Urk. 9), nachdem die Vorinstanz den Kläger darauf hingewiesen hatte, dass für diese Forderung das Einzelgericht zuständig wäre (Urk. 6), und ansonsten noch keine weiteren Pro- zessschritte erfolgt waren. Die nach § 10 Abs. 2 GebV OG reduzierte Gerichtsge- bühr hätte bei einem Streitwert von Fr. 5'000.– lediglich Fr. 525.– betragen (§ 4 Abs. 1 GebV OG). Eine Umtriebsentschädigung wäre mangels Umtrieben nicht geschuldet gewesen. Insgesamt war es somit vertretbar, die Kosten der Beklag- ten zu 4/5 und dem Kläger zu 1/5 aufzuerlegen.</w:t>
      </w:r>
    </w:p>
    <w:p>
      <w:r>
        <w:t>Die Gebührenansätze wurden von der Beklagten (zu Recht) nicht bean- standet. Die vorinstanzliche Kostenregelung (Dispositiv-Ziffern 6-8) ist daher zu bestätigen, soweit auf die Berufung eingetreten werden kann.</w:t>
      </w:r>
    </w:p>
    <w:p>
      <w:r>
        <w:t>2. Ausgangsgemäss wird die Beklagte für das Berufungsverfahren kosten- pflichtig (Art. 106 Abs. 1 ZPO). Parteientschädigungen sind nicht zuzusprechen; die Beklagte unterliegt und dem Kläger entstanden keine entschädigungspflichti- gen Aufwendungen, da keine Berufungsantwort eingeholt wurde.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