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AA040008, OG LQ030035 vom 28. April 2004</w:t>
      </w:r>
    </w:p>
    <w:p>
      <w:r>
        <w:t>Zh Gerichte, 2004-04-28, DE</w:t>
      </w:r>
    </w:p>
    <w:p>
      <w:r>
        <w:rPr>
          <w:b/>
        </w:rPr>
        <w:t xml:space="preserve">Quelle: </w:t>
      </w:r>
      <w:r>
        <w:t>https://mcp.opencaselaw.ch/entscheid/zh_gerichte_AA040008__OG_LQ030035</w:t>
      </w:r>
    </w:p>
    <w:p>
      <w:r>
        <w:t>FR: ZH_GERICHTE AA040008, OG LQ030035 du 28 avril 2004</w:t>
      </w:r>
    </w:p>
    <w:p>
      <w:r>
        <w:t>IT: ZH_GERICHTE AA040008, OG LQ030035 del 28 aprile 2004</w:t>
      </w:r>
    </w:p>
    <w:p>
      <w:pPr>
        <w:pStyle w:val="Heading2"/>
      </w:pPr>
      <w:r>
        <w:t>Regeste</w:t>
      </w:r>
    </w:p>
    <w:p>
      <w:r>
        <w:t>Verfahrensfehler, Rechtsfolgen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Juni 2003 festhielt, der Beschwerdeführer sei seit 1983 ununterbrochen in der Stadt Zürich wohnhaft, so kann damit nicht ohne Weiteres auf die materielle Un- richtigkeit des Attestes von 1995 geschlossen werden. Doch selbst wenn dem so wäre, so wäre dennoch nicht von vornherein klar, dass das Bezirksgericht mit der Berücksichtigung dieses Attestes gegen § 183 Abs. 1 GVG (Erfordernis der "sachdienlichen Nachforschungen") verstossen hätte (zum Begriff der "sachdienli- chen Nachforschungen" vgl. Hauser/Schweri, Kommentar zum zürcherischen Ge- richtsverfassungsgesetz, Zürich 2002, N 5 ff. zu § 183 GVG). Ohne damit die Rechtmässigkeit des bezirksgerichtlichen Vorgehens im Jahre 1995 abschliessend zu beurteilen, ist zusammenfassend festzuhalten, dass die Durchführung des Säumnisverfahrens nicht offensichtlich (bzw. leicht erkenn- bar) unzulässig war. Soweit der Beschwerdeführer geltend macht, das Schei- dungsurteil sei nichtig und rechtlich unwirksam, ist die Rüge folglich abzuweisen." [Das Kassationsgericht kam in der Folge ebenfalls zum Schluss, der Kläger habe die einschlägigen Fristen nicht gewahrt, und wies die Nichtigkeitsbeschwerde ab.]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