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MJ250072-L vom 21. Oktober 2025</w:t>
      </w:r>
    </w:p>
    <w:p>
      <w:r>
        <w:t>Zh Bezirksgericht Zuerich, 2025-10-21, DE</w:t>
      </w:r>
    </w:p>
    <w:p>
      <w:r>
        <w:rPr>
          <w:b/>
        </w:rPr>
        <w:t xml:space="preserve">Quelle: </w:t>
      </w:r>
      <w:r>
        <w:t>https://mcp.opencaselaw.ch/entscheid/zh_bezirksgericht_zuerich_MJ250072-L</w:t>
      </w:r>
    </w:p>
    <w:p>
      <w:r>
        <w:t>FR: ZH_BEZIRKSGERICHT_ZUERICH MJ250072-L du 21 octobre 2025</w:t>
      </w:r>
    </w:p>
    <w:p>
      <w:r>
        <w:t>IT: ZH_BEZIRKSGERICHT_ZUERICH MJ250072-L del 21 ottobre 2025</w:t>
      </w:r>
    </w:p>
    <w:p>
      <w:pPr>
        <w:pStyle w:val="Heading2"/>
      </w:pPr>
      <w:r>
        <w:t>Erwägungen</w:t>
      </w:r>
    </w:p>
    <w:p>
      <w:r>
        <w:rPr>
          <w:b/>
        </w:rPr>
        <w:t>E. 3</w:t>
      </w:r>
    </w:p>
    <w:p>
      <w:r>
        <w:t>Vorliegend kann dem Rechtsbegehren des Klägers zwar entnommen wer- den, dass er nebst der Feststellung der Missbräuchlichkeit des Anfangsmietzinses auch dessen Reduktion verlangt; allerdings ergibt sich daraus nicht, auf welchen Betrag der Kläger den Mietzins herabgesetzt haben will. Darüber hinaus unterliess dieser es auch, zumindest einen Mindeststreitwert anzugeben, wobei aber auch ein solcher keine genügende Bezifferung darstellen würde. Entsprechend ist vor- liegend von einer unbezifferten Forderungsklage im Sinne von Art. 85 ZPO auszu- gehen. Dabei unterliess es der Kläger auch nur ansatzweise in schlüssiger und objektiv nachvollziehbarer Weise darzulegen, dass und warum ihm die Bezifferung seiner Klage bereits zu Beginn des Verfahrens unmöglich oder unzumutbar sein soll. Das von ihm beklagte Fehlen von Informationen genügt dafür nach der bundesgericht- lichen Rechtsprechung nicht. Vor diesem Hintergrund sind auch die klägerischen Editionsbegehren, wonach einerseits die Eigentümerin der Liegenschaft zur Of- fenlegung der Nettorendite samt allen dazu relevanten Unterlagen und Belegen anzuhalten und andererseits die Beklagte zur Offenlegung ihres amtlichen An- fangsmietzinsformulars aufzufordern sei, wie gezeigt unbehelflich. Das Gericht könnte eine unterbliebenen Offenlegung von Unterlagen durch die Untervermiete-</w:t>
      </w:r>
    </w:p>
    <w:p>
      <w:r>
        <w:t>- 7 - rin einzig bei der Beweiswürdigung berücksichtigen. Um eine solche aber über- haupt vornehmen zu können, muss es wissen, wo die Grenzen der Dispositions- maxime im konkreten Fall liegen. Dies setzt einen konkreten Antrag des Mieters voraus. Was eine Ertragsberechnung hinsichtlich des Hauptmietzinses angeht, kann eine solche von vornherein nicht massgeblich sein, denn der (nicht ange- fochtene) Hauptmietzins repräsentiert tel quel die Kosten der Mieterin/Unterver- mieterin, welche die Grundlagen für eine Berechnung des zulässigen Ertrags im Untermietverhältnis bilden. Der mittlerweile anwaltlich vertretene Kläger hat sich nicht an das von der Schlich- tungsbehörde formulierte Begehren gehalten, sondern stellt die Höhe des festzu- setzenden Mietzinses mit der Formulierung ins Belieben des Gerichts, der Mietzins sei neu festzusetzen. Auch der schriftlichen Klagebegründung sind keine genaue- ren Angaben zu entnehmen. Den theoretischen Ausführungen zur Art und Weise der Bestimmung des Anfangsmietzinses folgt einzig der vage Hinweis, gestützt auf die Mietpreiserhebung der Stadt Zürich sei davon auszugehen, dass ein angemes- sener Mietzins sich innerhalb des 10. Perzentils der Statistik bewegen müsse. Un- ter Berücksichtigung eines 10 %-igen Untervermietungszuschlags sowie eines Möblierungszuschlags von Fr. 4.– führe dies zu einem Mietzins «von rund Fr. 720.–». Damit genügt der Kläger den Anforderungen an eine unbezifferte Klage selbst dann nicht, wenn eine solche aufgrund der konkreten Umstände zulässig wäre.</w:t>
      </w:r>
    </w:p>
    <w:p>
      <w:r>
        <w:rPr>
          <w:b/>
        </w:rPr>
        <w:t>E. 4</w:t>
      </w:r>
    </w:p>
    <w:p>
      <w:r>
        <w:t>Nach dem Gesagten wurde trotz anfänglich erforderlicher Bezifferung kein hinreichend bestimmtes und beziffertes Rechtsbegehren gestellt, weshalb auf die Klage ohne Ansetzung einer Frist zur Mängelbehebung nicht einzutreten ist. II. Dem Verfahrensausgang entsprechend wird der Kläger vollumfänglich kosten- pflichtig (Art. 106 Abs. 1 ZPO). Auch zum Streitwert hat der Kläger sich nicht geäussert (act. 1). Analog zu den Annahmen der Schlichtungsbehörde ist von einer Mietdauer von 18 Monaten aus- zugehen, was gestützt auf die vagen Angaben des Klägers zum anvisierten Miet- zins («rund Fr. 720.–» pro Monat) und auf den vertraglich vereinbarten Mietzins</w:t>
      </w:r>
    </w:p>
    <w:p>
      <w:r>
        <w:t>- 8 - von Fr. 1'065.– zu einem Streitwert von Fr. 6'210.– führt ([Fr. 1'065.– - Fr. 720.–] x 18). Da eine Entscheidung ohne Anspruchsprüfung erfolgt, ist die ordentliche Ge- bühr gestützt auf § 10 Abs. 1 GebV auf 2/3 zu senken. Es sind keine Parteientschädigungen zuzusprechen. Dem Kläger nicht, weil er un- terliegt, und der Beklagten nicht mangels Umtrieben.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