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MJ220072-L/U vom 1. November 2023</w:t>
      </w:r>
    </w:p>
    <w:p>
      <w:r>
        <w:t>Zh Bezirksgericht Zuerich, 2023-11-01, DE</w:t>
      </w:r>
    </w:p>
    <w:p>
      <w:r>
        <w:rPr>
          <w:b/>
        </w:rPr>
        <w:t xml:space="preserve">Quelle: </w:t>
      </w:r>
      <w:r>
        <w:t>https://mcp.opencaselaw.ch/entscheid/zh_bezirksgericht_zuerich_MJ220072-L_U</w:t>
      </w:r>
    </w:p>
    <w:p>
      <w:r>
        <w:t>FR: ZH_BEZIRKSGERICHT_ZUERICH MJ220072-L/U du 1 novembre 2023</w:t>
      </w:r>
    </w:p>
    <w:p>
      <w:r>
        <w:t>IT: ZH_BEZIRKSGERICHT_ZUERICH MJ220072-L/U del 1 novembre 2023</w:t>
      </w:r>
    </w:p>
    <w:p>
      <w:pPr>
        <w:pStyle w:val="Heading2"/>
      </w:pPr>
      <w:r>
        <w:t>Erwägungen</w:t>
      </w:r>
    </w:p>
    <w:p>
      <w:r>
        <w:rPr>
          <w:b/>
        </w:rPr>
        <w:t>E. 1</w:t>
      </w:r>
    </w:p>
    <w:p>
      <w:r>
        <w:t>Sachverhalt</w:t>
      </w:r>
    </w:p>
    <w:p>
      <w:r>
        <w:rPr>
          <w:b/>
        </w:rPr>
        <w:t>E. 1.1</w:t>
      </w:r>
    </w:p>
    <w:p>
      <w:r>
        <w:t>Die Klägerin bringt im Wesentlichen vor, mit Vereinbarung vom Dezember 2018 den Mietvertrag zwischen der A. Gastro GmbH und der Beklagten per 1. De- zember 2018 übernommen zu haben. Im Rahmen dieser Vertragsübernahme habe die Klägerin der A. Gastro GmbH eine Abgeltung in der Höhe von Fr. 24'000.– für das bei der Beklagten verbleibende Mietzinsdepot bezahlt. Den Erhalt dieser Zahlung habe die A. Gastro GmbH mit Unterzeichnung des genann- ten Übernahmevertrags sogleich quittiert. Die Klägerin habe in der Folge keine Bestätigung, namentlich einen Kontoauszug, Auskünfte oder sonstige Belege, über ein auf ihren Namen lautendes Sperrkonto erhalten. Aufgrund dessen sei da- von auszugehen, dass die Beklagte ein solches nie eingerichtet habe und das Mietzinsdepot durch die Beklagte nicht rechtmässig hinterlegt worden sei. Dies</w:t>
      </w:r>
    </w:p>
    <w:p>
      <w:r>
        <w:t>- 8 - ergebe sich insbesondere auch aus dem Umstand, dass die Klägerin die Sicher- heitsleistung vereinbarungsgemäss nicht an die Beklagte sondern vielmehr an die A. Gastro GmbH geleistet habe. Weiter bringt die Klägerin vor, dass das Mietver- hältnis am 31. März 2021 geendet habe. Sämtliche ausstehenden Mietzinse, wel- che zur Kündigung durch die Beklagte geführt hätten, seien durch die Klägerin beglichen worden. Am 26. März 2021 habe die Beklagte sodann einen neuen Miet- vertrag mit einer von der Klägerin empfohlenen Drittperson geschlossen. Aufgrund des Ausgeführten sei das Mietzinsdepot in der Höhe von Fr. 24'000.– ungeschmä- lert der Klägerin herauszugeben und dürfe von der Beklagten auch nicht mit allfäl- ligen Gegenforderungen verrechnet werden.</w:t>
      </w:r>
    </w:p>
    <w:p>
      <w:r>
        <w:rPr>
          <w:b/>
        </w:rPr>
        <w:t>E. 1.2</w:t>
      </w:r>
    </w:p>
    <w:p>
      <w:r>
        <w:t>Zugleich macht die Klägerin geltend, dass der Vermieter nach Art. 257e Abs. 3 OR nach Beendigung des Mietverhältnisses ein Jahr Zeit habe, um allfällige Ansprüche gegenüber dem Mieter rechtlich geltend zu machen. Dies habe die Be- klagte jedoch nicht getan. Zwar habe sie in den Schreiben vom 15. Dezember 2021 und 17. Januar 2022 verschiedene Forderungen im Zusammenhang mit dem neuen Mieter erhoben, diese seien jedoch bestritten sowie gänzlich unbelegt und nie auf dem Rechtsweg gegenüber der Klägerin eingefordert worden. Im vorlie- genden Verfahren seien diese Ansprüche schon gar nicht vorgebracht worden. Auch deshalb sei die Sicherheit der Klägerin herauszugegeben.</w:t>
      </w:r>
    </w:p>
    <w:p>
      <w:r>
        <w:rPr>
          <w:b/>
        </w:rPr>
        <w:t>E. 1.3</w:t>
      </w:r>
    </w:p>
    <w:p>
      <w:r>
        <w:t>Schliesslich führt die Klägerin aus, dass sie nach März 2021 mehrfach er- folglos versucht habe, das Depot herauszubekommen. Mit Schreiben vom 2. Feb- ruar 2022 habe sie der Beklagten letztmals Frist bis zum 11. Februar 2022 zur Herausgabe des Mietzinsdepots angesetzt. Spätestens seit diesem Zeitpunkt be- finde sich die Beklagte in Verzug, weshalb sie der Klägerin entsprechend einen Verzugszins von 5% schulde. 2. Standpunkt der Beklagten Die Beklagte unterliess es gänzlich, sich zum relevanten Gegenstand des vorlie- genden Verfahrens zu äussern (vgl. oben E. I.2.4. und II.3.3.). Der Nichteintretens- antrag der Beklagten wurde bereits vorstehend abgehandelt, so dass sich erneute Ausführungen diesbezüglich erübrigen (vgl. oben E. II.2 ff.).</w:t>
      </w:r>
    </w:p>
    <w:p>
      <w:r>
        <w:t>- 9 - IV. Materielles 1. Wirkungen der Übertragung nach Art. 263 OR Der Mieter von Geschäftsräumen kann das Mietverhältnis mit schriftlicher Zustim- mung des Vermieters auf einen Dritten übertragen. Stimmt der Vermieter der Über- tragung der Miete auf einen Dritten zu, so tritt dieser von Gesetzes wegen mit allen Rechten und Pflichten als neuer Mieter in den unverändert weiter geltenden Miet- vertrag anstelle des bisherigen Mieters ein. Da der Dritte als neuer Mieter in alle Rechte und Pflichten seines Vorgängers in den Mietvertrag eintritt, übernimmt er auch alle bisher im Laufe des Mietverhältnisses entstandenen Ansprüche und Rechte. Übernommen werden auch die Sicherheitsleistungen im Sinne von Art. 257e OR, soweit sie nicht – wie z.B. eine Bankgarantie, welche wegen der Person des Schuldners abgegeben wird oder Bürgschaftsverpflichtungen Dritter – mit der Person des Mieters verbunden sind (ZK OR-HIGI/WILDISEN, 5. Aufl., Art. 263 OR N 44 ff.; BSK OR I-WEBER, 7. Aufl., Art. 263 N 6; SVIT-Komm.-ROH- RER, 4. Aufl., Art. 263 OR N 34; Mietrecht für die Praxis/ZAHRADNIK, 10. Aufl., S. 729). 2. Herausgabe bzw. Rückerstattung der Sicherheitsleistung des Mieters</w:t>
      </w:r>
    </w:p>
    <w:p>
      <w:r>
        <w:rPr>
          <w:b/>
        </w:rPr>
        <w:t>E. 2</w:t>
      </w:r>
    </w:p>
    <w:p>
      <w:r>
        <w:t>Parteiwechsel</w:t>
      </w:r>
    </w:p>
    <w:p>
      <w:r>
        <w:rPr>
          <w:b/>
        </w:rPr>
        <w:t>E. 2.1</w:t>
      </w:r>
    </w:p>
    <w:p>
      <w:r>
        <w:t>Nach Art. 257e OR können die Parteien die Leistung einer Sicherheit vereinbaren. Sie dient dazu, die Risiken des Vermieters zu vermindern, die ihm aus der Gebrauchsüberlassung der Sache an den Mieter entstehen. Die vom Mie- ter in Form von Geld geleistete Sicherheit für Wohn- oder Geschäftsräume muss vom Vermieter nach Art. 257e Abs. 1 OR bei einer Bank auf einem Sparkonto oder einem Depot, das auf den Namen des Mieters lautet, hinterlegt werden. Art. 257e OR ist absolut zwingender Natur (SVIT-Komm.-REUDT, a.a.O., Art. 257e OR N 3; Mietrecht für die Praxis/WYTTENBACH, a.a.O., S. 425; ZK OR-HIGI/BÜHLMANN, a.a.O., Art. 257e OR N 4 f.; RONCORNI, mp 2/90 S. 85; BSK OR I-WEBER, a.a.O., Art. 257e OR N 1 und 2a).</w:t>
      </w:r>
    </w:p>
    <w:p>
      <w:r>
        <w:rPr>
          <w:b/>
        </w:rPr>
        <w:t>E. 2.2</w:t>
      </w:r>
    </w:p>
    <w:p>
      <w:r>
        <w:t>Der Anspruch des Mieters auf gesetzeskonforme Hinterlegung der Sicher- heit entsteht im Zeitpunkt von deren Aushändigung (BGE 127 III 273 E. 4.c.bb) und kann gemäss herrschender Lehre gerichtlich durchgesetzt werden (SVIT- Komm.-REUDT, a.a.O., Art. 257e OR N 14; BK-GIGER, Art. 257e OR N 41; ZK OR-</w:t>
      </w:r>
    </w:p>
    <w:p>
      <w:r>
        <w:t>- 10 - HIGI/BÜHLMANN, a.a.O., Art. 257e OR N 30). Nach Beendigung des Mietverhältnis- ses geht die vertragliche Nebenpflicht des Vermieters auf Hinterlegung unter. An ihre Stelle tritt die Herausgabe- bzw. Rückerstattungspflicht des Vermieters. Der Mieter ist folglich berechtigt die geleistete Sicherheit zurückzufordern. Gemäss Rechtsprechung ist das Hinterlegungsvertragsrecht anzuwenden, wenn der Ver- mieter die Kaution einfach in seinem Vermögen belässt (BGE 127 III 273 E. 3.b; vgl. ZMP 2020 Nr. 1). Dies hat zur Folge, dass das Verrechnungsverbot nach Art. 125 Ziff. 1 OR greift. Fordert der Mieter die nicht korrekt hinterlegte Sicher- heitsleistung zurück, kann der Vermieter demnach nach herrschender Lehre und Rechtsprechung keine Gegenforderung in Verrechnung bringen (vgl. ZMP 2020 Nr. 1 E. III.2.2. ff.; CHK-HULLIGER, 4. Aufl., Art. 257e OR N 5; ZK OR-HIGI/BÜHL- MANN, a.a.O., Art. 257e OR N 30; Mietrecht für die Praxis/ WYTTENBACH, a.a.O., S. 431).</w:t>
      </w:r>
    </w:p>
    <w:p>
      <w:r>
        <w:rPr>
          <w:b/>
        </w:rPr>
        <w:t>E. 2.3</w:t>
      </w:r>
    </w:p>
    <w:p>
      <w:r>
        <w:t>Grundsätzlich stehen sich während eines Prozesses von Anfang bis zum Ende dieselben Parteien gegenüber. Ein Parteiwechsel liegt vor, wenn während dem laufenden Verfahren an Stelle einer der bisherigen Parteien eine andere Par- tei in den Prozess eintritt. Hierbei nimmt die eintretende Partei den Prozess in der Lage auf, in der er sich im Moment des Parteiwechsels befindet. Sämtliche bishe- rigen Verfahrenshandlungen behalten somit ihre Wirkung (BSK ZPO-GRABER,</w:t>
      </w:r>
    </w:p>
    <w:p>
      <w:r>
        <w:rPr>
          <w:b/>
        </w:rPr>
        <w:t>E. 2.4</w:t>
      </w:r>
    </w:p>
    <w:p>
      <w:r>
        <w:t>Eine solche Rechtsnachfolge ist die Universalsukzession infolge Fusion nach Art. 22 des Bundesgesetzes über die Fusion, Spaltung, Umwandlung und Vermögensübertragung (Fusionsgesetz, FusG). Hierbei tritt die Nachfolge unmit- telbar kraft Gesetzes ein und ist von Amtes wegen zu berücksichtigen. Die Zustim- mung der Gegenpartei ist hierfür nicht erforderlich. Es hat sodann eine Anpassung der Parteibezeichnung zu erfolgen, wobei es keiner ausdrücklichen Erklärung der Parteien bedarf. Es genügt, dass das Gericht aufgrund der vorliegenden Tatsa- chen von der fusionsbedingten Rechtsnachfolge Kenntnis erlangt (Urteile des Bun- desgerichts 5A_256/2016 vom 9. Juni 2017 E. 3.2, nicht publiziert in BGE 143 III 297; 4A_232/2014; 4A_232/2014 vom 30. März 2015 E. 4.2.2, nicht publiziert in BGE 141 III 106; BSK ZPO-GRABER, a.a.O., Art. 83 N 36 und 39; KUKO ZPO-DO- MEJ, 3. Aufl., Art. 83 N 16; BSK FusG-TSCHÄNI/GABERTHÜEL/ERNI, 2. Aufl., Art. 22 N 16; ZK FusG-GELZER, 2. Aufl., Art. 22 N 13 f.).</w:t>
      </w:r>
    </w:p>
    <w:p>
      <w:r>
        <w:rPr>
          <w:b/>
        </w:rPr>
        <w:t>E. 2.5</w:t>
      </w:r>
    </w:p>
    <w:p>
      <w:r>
        <w:t>Aus dem Handelsregisterauszug wird ersichtlich, dass die K1 GmbH ge- mäss Fusionsvertrag vom 5. Juni 2023 mit der K2 AG fusionierte. Die Fusion wurde durch die Eintragung ins Handelsregister rechtswirksam. Mit Rechtswirk- samkeit der Fusion erfolgte vorliegend auf dem Weg der Universalsukzession ein Übergang sämtlicher Aktiven und Passiven von der K1 GmbH, als übertragende Gesellschaft, auf die K2 AG, als übernehmende Gesellschaft. Bei der K2 AG han- delt es sich um eine partei- und prozessfähige juristische Person im Sinne von</w:t>
      </w:r>
    </w:p>
    <w:p>
      <w:r>
        <w:t>- 6 - Art. 59 Abs. 2 lit. c ZPO. Die ursprünglich ins Recht gefasste K1 GmbH wurde da- mit zwar im Handelsregister gelöscht. Eine Löschung, welche gemäss den Aus- führungen von Rechtsanwalt B. hingegen ersatzlos gewesen wäre, weshalb es an einer prozess- und parteifähigen Beklagten fehlen würde, erfolgte indessen gerade nicht. Vielmehr trat die K2 AG als Rechtsnachfolgerin der K1 GmbH ex lege in den vorliegenden Prozess ein.</w:t>
      </w:r>
    </w:p>
    <w:p>
      <w:r>
        <w:rPr>
          <w:b/>
        </w:rPr>
        <w:t>E. 2.6</w:t>
      </w:r>
    </w:p>
    <w:p>
      <w:r>
        <w:t>Es liegt vorliegend offenkundig ein Parteiwechsel nach Art. 84 Abs. 4 Satz 2 ZPO i.V.m. Art. 22 FusG vor, welcher von Gesetzes wegen stattfindet und von Amtes wegen zu berücksichtigen ist. Der Parteiwechsel bedarf keiner Zustim- mung der Gegenpartei (vgl. aber Prot. S. 9). Das Rubrum wurde deshalb anläss- lich der Hauptverhandlung entsprechend angepasst, womit die K2 AG als Beklagte aufgeführt, sowie auf die Klage eingetreten wurde.</w:t>
      </w:r>
    </w:p>
    <w:p>
      <w:r>
        <w:rPr>
          <w:b/>
        </w:rPr>
        <w:t>E. 2.7</w:t>
      </w:r>
    </w:p>
    <w:p>
      <w:r>
        <w:t>Aus dem Handelsregisterauszug der K2 AG wird überdies ersichtlich, dass Rechtsanwalt B. einzelzeichnungsberechtigtes Mitglied des Verwaltungsrates ist, da er bisher jedoch nicht als deren Rechtsanwalt in Erscheinung trat, wurde er nach dem Parteiwechsel im Rubrum nicht mehr als solcher aufgeführt.</w:t>
      </w:r>
    </w:p>
    <w:p>
      <w:r>
        <w:rPr>
          <w:b/>
        </w:rPr>
        <w:t>E. 3</w:t>
      </w:r>
    </w:p>
    <w:p>
      <w:r>
        <w:t>Würdigung</w:t>
      </w:r>
    </w:p>
    <w:p>
      <w:r>
        <w:rPr>
          <w:b/>
        </w:rPr>
        <w:t>E. 3.1</w:t>
      </w:r>
    </w:p>
    <w:p>
      <w:r>
        <w:t>Mit schriftlicher Vereinbarung vom Dezember 2018 übernahm die Klägerin den Mietvertrag zwischen der A. Gastro GmbH und der Beklagten per 1. Dezem- ber 2018. Die Beklagte erklärte durch Unterzeichnung der Vereinbarung schriftlich ihre Zustimmung zur Übertragung, womit die Klägerin von Gesetzes wegen mit allen Rechten und Pflichten als neue Mieterin in den unverändert weiter geltenden Mietvertrag eintrat. Die Klägerin hat damit auch die von der ausscheidenden Mie- terin geleistete Sicherheit übernommen. Dies wurde von den Parteien in der Ver- einbarung entsprechend festgehalten. So leistete die Klägerin der A. Gastro GmbH für das von dieser geleistete und bei der Beklagten verbleibende Mietzinsdepot als «Abgeltung» den Betrag von Fr. 24'000.–, deren Erhalt die A. Gastro GmbH mit Unterzeichnung der genannten Vereinbarung sogleich quittierte. Vorliegend gin- gen die Ansprüche hinsichtlich des bereits geleisteten Mietzinsdepots daher auf die Klägerin über, wobei die Sicherheitsleistung vereinbarungsgemäss bei der Be- klagten verblieb. Sodann blieb unbestritten, dass die Beklagte die geleistete Si- cherheit nicht auf einem auf den Namen der Klägerin lautendes Bankkonto hinter- legt hat. Trotz entsprechender Aufforderung erhielt die Klägerin keine Belege oder Auskünfte hinsichtlich einer ordnungsgemässen Hinterlegung bei einer Bank. Die diesbezüglichen Ausführungen der Klägerin blieben durch die Beklagte gänzlich</w:t>
      </w:r>
    </w:p>
    <w:p>
      <w:r>
        <w:t>- 11 - unbestritten. Überdies ergeben sich auch aus den vorliegenden Akten keine ge- genteiligen Anhaltspunkte oder ernsthaften Zweifel an der Sachverhaltsdarstel- lung der Klägerin. Indem die Beklagte das ursprünglich ihr überreichte Geld nicht ordnungsgemäss hinterlegte, hat sie ihre Hinterlegungspflicht verletzt.</w:t>
      </w:r>
    </w:p>
    <w:p>
      <w:r>
        <w:rPr>
          <w:b/>
        </w:rPr>
        <w:t>E. 3.2</w:t>
      </w:r>
    </w:p>
    <w:p>
      <w:r>
        <w:t>Da das Mietverhältnis per 31. März 2021 endete, ging die vertragliche Ne- benpflicht der Beklagten auf Hinterlegung unter. An ihre Stelle trat die Heraus- gabe- bzw. Rückerstattungspflicht. Die Klägerin ist folglich berechtigt, die geleis- tete Sicherheit zurückzufordern. Die Beklagte ist somit zu verpflichten, der Klägerin die geleisteten Fr. 24'000.– ungeschmälert herauszugeben. Da das Verrech- nungsverbot nach Art. 125 Ziff. 1 OR greift, kann die Beklagte auch keine Gegen- forderungen in Verrechnung bringen.</w:t>
      </w:r>
    </w:p>
    <w:p>
      <w:r>
        <w:rPr>
          <w:b/>
        </w:rPr>
        <w:t>E. 3.3</w:t>
      </w:r>
    </w:p>
    <w:p>
      <w:r>
        <w:t>Im Übrigen führt selbst die – weder durch die Aktenlage noch durch Partei- behauptungen erstellte – Annahme, wonach die Sicherheit durch die Beklagte ord- nungsgemäss hinterlegt worden sei, zu keinem anderen Ergebnis.</w:t>
      </w:r>
    </w:p>
    <w:p>
      <w:r>
        <w:rPr>
          <w:b/>
        </w:rPr>
        <w:t>E. 3.4</w:t>
      </w:r>
    </w:p>
    <w:p>
      <w:r>
        <w:t>Der Mieter kann nach Art. 257e Abs. 3 OR von der Bank die Rückerstattung einer ordnungsgemäss hinterlegten Sicherheit verlangen, wenn der Vermieter in- nert Jahresfrist seit Beendigung des Mietverhältnisses gegenüber dem Mieter kei- nen Anspruch rechtlich geltend gemacht hat. Unter dem rechtlichen Vorgehen des Vermieters ist die Klageerhebung oder die Einreichung eines Betreibungsbegeh- rens zu verstehen (BSK OR I-WEBER, a.a.O., Art. 257e OR N 11; ZK OR- HIGI/BÜHLMANN, a.a.O., Art. 257e N 43 ff.; siehe hierzu ZMP 2015 Nr. 4). Es ist Sache des Vermieters, die Auszahlung an den Mieter durch den Nachweis des rechtlichen Vorgehens zuhanden der Depotbank zu verhindern, sobald ihn diese über das Herausgabebegehren des Mieters orientiert hat (ZK OR-HIGI/BÜHLMANN, a.a.O., Art. 257e N 42 und 51). Ist bei Ablauf der Jahresfrist kein entsprechendes Verfahren (mehr) hängig, so ist die Bank berechtigt und verpflichtet, das Deposi- tum an den Mieter herauszugeben (BSK OR I-WEBER, a.a.O., Art. 257e OR N 11; CHK-HULLIGER, a.a.O., Art. 257e OR N 13).</w:t>
      </w:r>
    </w:p>
    <w:p>
      <w:r>
        <w:rPr>
          <w:b/>
        </w:rPr>
        <w:t>E. 3.5</w:t>
      </w:r>
    </w:p>
    <w:p>
      <w:r>
        <w:t>Die Beendigung des Mietverhältnisses per 31. März 2021 liegt bereits mehr als ein Jahr zurück. Zwar machte die Beklagte gegenüber der Klägerin in ihren Schreiben vom 15. Dezember 2021 und 17. Januar 2022 Forderungen von bis zu</w:t>
      </w:r>
    </w:p>
    <w:p>
      <w:r>
        <w:t>- 12 - Fr. 47'000.– geltend und drohte der Klägerin hinsichtlich dieser Forderungen ex- plizit deren Vollstreckung bzw. Betreibung an. Dies allein hindert die Rückerstat- tungspflicht der Beklagten hinsichtlich des Mietzinsdepots allerdings nicht, zumal darin kein rechtliches Vorgehen im Sinne von Art. 257e Abs. 3 OR liegt (vgl. ZMP 2015 Nr. 4).</w:t>
      </w:r>
    </w:p>
    <w:p>
      <w:r>
        <w:rPr>
          <w:b/>
        </w:rPr>
        <w:t>E. 3.6</w:t>
      </w:r>
    </w:p>
    <w:p>
      <w:r>
        <w:t>Auch aus den vorliegenden Akten ist sodann in keiner Weise ersichtlich, dass die Beklagte innert Jahresfrist mögliche Ansprüche gegenüber der Klägerin rechtlich geltend gemacht hätte, namentlich durch Klageeinleitung oder Einrei- chung eines Betreibungsbegehrens. Der Betreibungsregisterauszug der Klägerin vom 8. November 2022, welcher im Zusammenhang mit dem Antrag um Sicher- stellung der Parteientschädigung durch die Beklagte selbst eingereicht wurde, weist lediglich einen Eintrag aus, welcher eine bereits beglichene Steuerschuld betrifft. Ein rechtliches Vorgehen der Beklagten im Sinne von Art. 257e Abs. 3 OR ist demnach weder aus den Akten ersichtlich noch wurden diesbezügliche Be- hauptungen aufgestellt. Die Klägerin wäre folglich auch dann berechtigt die Rück- erstattung des Mietzinsdepots über Fr. 24'000.– zu verlangen, wenn das Miet- zinsdepot ordnungsgemäss bei einer Bank hinterlegt worden wäre.</w:t>
      </w:r>
    </w:p>
    <w:p>
      <w:r>
        <w:rPr>
          <w:b/>
        </w:rPr>
        <w:t>E. 4</w:t>
      </w:r>
    </w:p>
    <w:p>
      <w:r>
        <w:t>Verzugszins</w:t>
      </w:r>
    </w:p>
    <w:p>
      <w:r>
        <w:rPr>
          <w:b/>
        </w:rPr>
        <w:t>E. 4.1</w:t>
      </w:r>
    </w:p>
    <w:p>
      <w:r>
        <w:t>Ist der Schuldner mit der Zahlung einer Geldschuld in Verzug, hat er einen Verzugszins von 5% zu bezahlen (Art. 104 Abs. 1 OR). In Verzug kommt der Schuldner durch die Mahnung des Gläubigers, sofern nicht eine Verfalltagsabrede vorliegt (Art. 102 OR). Bei der Mahnung handelt es sich um eine unmissverständ- liche Aufforderung zur Zahlung der Geldsumme. Sie ist eine empfangsbedürftige Erklärung (BSK OR I-WIDMER LÜCHINGER/WIEGAND, a.a.O., Art. 102 N 5 ff.).</w:t>
      </w:r>
    </w:p>
    <w:p>
      <w:r>
        <w:rPr>
          <w:b/>
        </w:rPr>
        <w:t>E. 4.2</w:t>
      </w:r>
    </w:p>
    <w:p>
      <w:r>
        <w:t>Mit Schreiben vom 2. Februar 2022 wurde die Beklagte von der Klägerin unmissverständlich zur Herausgabe des Mietzinsdepots über Fr. 24'000.– und da- mit zur Zahlung einer bestimmten Geldsumme bis spätestens 11. Februar 2022 aufgefordert. Die Ausführungen der Klägerin diesbezüglich blieben durch die Be- klagte unbestritten. Der Klägerin ist deshalb antragsgemäss Verzugszins von 5% auf den Betrag von Fr. 24'000.– seit dem 11. Februar 2022 zuzusprechen.</w:t>
      </w:r>
    </w:p>
    <w:p>
      <w:r>
        <w:t>- 13 -</w:t>
      </w:r>
    </w:p>
    <w:p>
      <w:r>
        <w:rPr>
          <w:b/>
        </w:rPr>
        <w:t>E. 5</w:t>
      </w:r>
    </w:p>
    <w:p>
      <w:r>
        <w:t>Fazit Die Klage ist vollumfänglich gutzuheissen. Die Beklagte ist zu verpflichten, der Klägerin Fr. 24'000.– zuzüglich Zins zu 5% seit 11. Februar 2022 zu bezahlen. V. Kosten- und Entschädigungsfolgen 1. Grundlage für die Festsetzung der Gerichtsgebühren im Zivilprozess bildet der Streitwert (vgl. § 2 lit. a GebV OG; Art. 96 ZPO). Dieser wird durch das Rechts- begehren bestimmt (Art. 91 Abs. 1 ZPO). Massgeblicher Zeitpunkt für die Bestim- mung des Streitwerts ist der Zeitpunkt der Klageeinreichung (BGE 141 III 137 E. 2.2). Beim eingangs erwähnten Streitwert von Fr. 24'000.– zum Zeitpunkt der Rechtshängigkeit beträgt die ordentliche Gerichtsgebühr Fr. 3'470.–. Die ordentli- che Parteientschädigung für eine anwaltlich vertretene Gegenpartei beträgt bei diesem Streitwert Fr. 4'675.– (inkl. MwSt.). 2. Die Kosten- und Entschädigungsfolgen sind nach Obsiegen und Unterliegen der Parteien im Prozess festzusetzen (Art. 106 ZPO). Vorliegend besteht wegen des durchschnittlichen Aufwandes des Verfahrens kein Grund, von den ordentli- chen Ansätzen den Verordnungen des Obergerichts (vgl. § 4 Abs. 1 GebV OG; § 4 Abs. 1 AnwGebV OG) abzuweichen. Die Beklagte unterliegt vollumfänglich, weshalb ihr die Gerichtskosten von Fr. 3'470.– aufzuerlegen sind und sie der Klä- gerin eine Parteientschädigung im Umfang von Fr. 4'675.– (inkl. MwSt.) zu leisten hat. (…)» Zürcher Mietrechtspraxis (ZMP): Entscheidungen des Mietgerichtes und der Schlichtungsbe- hörde des Bezirkes Zürich. Ausgabe 2024, 34.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