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MD190008-L/Z1 vom 12. Juni 2019</w:t>
      </w:r>
    </w:p>
    <w:p>
      <w:r>
        <w:t>Zh Bezirksgericht Zuerich, 2019-06-12, DE</w:t>
      </w:r>
    </w:p>
    <w:p>
      <w:r>
        <w:rPr>
          <w:b/>
        </w:rPr>
        <w:t xml:space="preserve">Quelle: </w:t>
      </w:r>
      <w:r>
        <w:t>https://mcp.opencaselaw.ch/entscheid/zh_bezirksgericht_zuerich_MD190008-L_Z1</w:t>
      </w:r>
    </w:p>
    <w:p>
      <w:r>
        <w:t>FR: ZH_BEZIRKSGERICHT_ZUERICH MD190008-L/Z1 du 12 juin 2019</w:t>
      </w:r>
    </w:p>
    <w:p>
      <w:r>
        <w:t>IT: ZH_BEZIRKSGERICHT_ZUERICH MD190008-L/Z1 del 12 giugno 2019</w:t>
      </w:r>
    </w:p>
    <w:p>
      <w:pPr>
        <w:pStyle w:val="Heading2"/>
      </w:pPr>
      <w:r>
        <w:t>Erwägungen</w:t>
      </w:r>
    </w:p>
    <w:p>
      <w:r>
        <w:rPr>
          <w:b/>
        </w:rPr>
        <w:t>E. 1</w:t>
      </w:r>
    </w:p>
    <w:p>
      <w:r>
        <w:t>Der Kläger geht implizit von einer vermögensrechtlichen Klage aus und bezif- fert den Streitwert auf Fr. 2'000.–. Diesem Betrag hat er die Geldsumme zugrunde gelegt, die seiner Ansicht nach für das Kopieren des Mietdossiers und die Demon- tage der von ihm beanstandeten Videokamera im Treppenhaus anfallen würde. Entsprechend bezeichnet der Kläger das Einzelgericht als zuständig und geht sinngemäss von der Anwendbarkeit des vereinfachten Verfahrens aus, denn er hat keine schriftlich begründete Klage eingereicht, was nur bei der genannten Ver- fahrensart zulässig ist.</w:t>
      </w:r>
    </w:p>
    <w:p>
      <w:r>
        <w:t>- 2 - Seiner Auffassung kann nicht gefolgt werden. Zwar trifft es zu, dass der Streitge- genstand in einem weiteren Sinne mietrechtlicher Natur ist und dass deshalb das Mietgericht dafür sachlich zuständig ist. Das Bundesgericht hat die Frage, ob der Vermieter zur Installation von Videokameras berechtigt ist oder nicht, primär unter datenschutzrechtlichen Gesichtspunkten abgehandelt, dabei aber explizit offenge- lassen, ob auch Art. 260 OR als Rechtsgrundlage für eine ungestörte, d.h. nicht durch Kameraaufnahmen beeinträchtigte Nutzung der Mietsache dienen könnte (BGE 142 III 263 E. 2.2.3). Zu präzisieren ist, dass sich eher die Frage der An- wendung von Art. 256 und 258 ff. OR stellen könnte. So oder anders steht aber sowohl der Antrag auf Entfernung der Videokamera als auch derjenige auf Ein- sicht in die von der Beklagten über den Kläger geführten Akten und Daten im Kon- text des Wohnungsmietverhältnisses zwischen den Parteien, so dass von einer Streitigkeit im Sinne von § 21 GOG/ZH auszugehen ist. Indessen hängt die Frage nach dem Streitwert bzw. nach der vermögensrechtli- chen oder nicht vermögensrechtlichen Natur einer Streitigkeit vom Zweck ab, den die klagende Partei mit der Klage verfolgt. In Zusammenhang mit der Herausgabe von Bankdaten an ausländische Behörden hat das Bundesgericht die Frage unter- schiedlich beurteilt und entschieden, dass eine in ein Verwaltungsverfahren invol- vierte Bank bei der Berufung auf den Datenschutz in erster Linie Vermögensinte- ressen verfolge, während eine Bankmitarbeiterin, welche ihrer aktuellen oder ehemaligen Arbeitgeberin in einem Zivilverfahren die Herausgabe von Daten an ausländische Justizbehörden untersagen will, in der Regel einen nicht vermögens- rechtlichen Anspruch geltend mache (BGE 142 III 145 E. 6). Im vorliegenden Fall ist nicht ersichtlich und wird vom Kläger auch nicht behauptet, dass es ihm um vermögensrechtliche Interessen geht. Gegenteils verfolgt er wohl mit beiden An- trägen den Schutz seiner Privatsphäre. Das vorliegende Verfahren ist daher nicht vermögensrechtlicher Natur, so dass sich die Frage des Streitwerts nicht stellt; die Bestimmung über die Schätzung eines solchen (Art. 91 Abs. 2 ZPO) gelangt dabei auch nicht analog zur Anwendung (BGE 142 III 145 E. 5). Nicht vermögensrechtliche Streitigkeiten, die in Art. 243 Abs. 2 ZPO nicht erwähnt sind, fallen in den Anwendungsbereich des ordentlichen Verfahrens (BGE 142 III 145 E. 4). Entsprechend können sie auch nicht im Sinne von § 26 GOG in die</w:t>
      </w:r>
    </w:p>
    <w:p>
      <w:r>
        <w:t>- 3 - sachliche Zuständigkeit des Einzelgerichts des Mietgerichts fallen, sondern sind gemäss § 21 GOG durch das Kollegialgericht zu behandeln. Damit fehlt es der vorliegenden Klage an sich an zwei Prozessvoraussetzungen. Ein Nichteintretensentscheid rechtfertigt sich ob der geringfügigen Mängel jedoch nicht. Vielmehr hat eine Prozessüberweisung von Amtes wegen zu erfolgen und ist dem Kläger Gelegenheit zu geben, eine schriftliche Klagebegründung einzu- reichen, die den Anforderungen des ordentlichen Verfahrens genügt (Art. 221 ZPO). Dieses Vorgehen steht im Einklang mit der Rechtsprechung des Oberge- richts und der Praxis des Mietgerichts Zürich: Zwar sieht Art. 63 Abs. 1 ZPO bei fehlender Zuständigkeit des angerufenen Ge- richts grundsätzlich einen Nichteintretensentscheid vor, verbunden mit der Mög- lichkeit der klagenden Partei, ihre Eingabe innert eines Monats seit dem Entscheid bei der zuständigen Schlichtungsbehörde oder beim zuständigen Gericht neu ein- zureichen mit der Wirkung, dass die mit der ursprünglichen Klage ausgelöste Rechtshängigkeit erhalten bleibt. Nach herrschender Lehre gilt dieses Vorgehen sowohl bei fehlender örtlicher als auch sachlicher Zuständigkeit. BERTI wies zu Recht darauf hin, dass der Umstand, dass die sachliche Zuständigkeit weiterhin vom kantonalen Recht geregelt wird, den Bundesgesetzgeber nicht daran hindert, die Folgen der fehlenden sachlichen Kompetenz zu regeln (KUKO ZPO-BERTI,</w:t>
      </w:r>
    </w:p>
    <w:p>
      <w:r>
        <w:rPr>
          <w:b/>
        </w:rPr>
        <w:t>E. 2</w:t>
      </w:r>
    </w:p>
    <w:p>
      <w:r>
        <w:t>Aufl., Art. 63 N 5; zum gleichen Schluss gelangen OFK ZPO-MORF, 2. Aufl., Art. 63 N 6; DIKE-Komm. ZPO-MÜLLER-CHEN, 2. Aufl., Art. 63 N 6; SUTTER- SOMM/HEDINGER, in Sutter-Somm/Hasenböhler/Leuenberger [Hrsg.], ZPO-Komm.,</w:t>
      </w:r>
    </w:p>
    <w:p>
      <w:r>
        <w:rPr>
          <w:b/>
        </w:rPr>
        <w:t>E. 3</w:t>
      </w:r>
    </w:p>
    <w:p>
      <w:r>
        <w:t>Weiter ist dem Kläger Gelegenheit zu geben, eine schriftliche Klagebegrün- dung einzureichen. (…)“ Zürcher Mietrechtspraxis (ZMP): Entscheidungen des Mietgerichtes und der Schlichtungsbehör- de des Bezirkes Zürich. Ausgabe 2019, 29.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