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MB170007 vom 21. Juli 2017</w:t>
      </w:r>
    </w:p>
    <w:p>
      <w:r>
        <w:t>Zh Bezirksgericht Zuerich, 2017-07-21, DE</w:t>
      </w:r>
    </w:p>
    <w:p>
      <w:r>
        <w:rPr>
          <w:b/>
        </w:rPr>
        <w:t xml:space="preserve">Quelle: </w:t>
      </w:r>
      <w:r>
        <w:t>https://mcp.opencaselaw.ch/entscheid/zh_bezirksgericht_zuerich_MB170007</w:t>
      </w:r>
    </w:p>
    <w:p>
      <w:r>
        <w:t>FR: ZH_BEZIRKSGERICHT_ZUERICH MB170007 du 21 juillet 2017</w:t>
      </w:r>
    </w:p>
    <w:p>
      <w:r>
        <w:t>IT: ZH_BEZIRKSGERICHT_ZUERICH MB170007 del 21 luglio 2017</w:t>
      </w:r>
    </w:p>
    <w:p>
      <w:pPr>
        <w:pStyle w:val="Heading2"/>
      </w:pPr>
      <w:r>
        <w:t>Erwägungen</w:t>
      </w:r>
    </w:p>
    <w:p>
      <w:r>
        <w:rPr>
          <w:b/>
        </w:rPr>
        <w:t>E. 30</w:t>
      </w:r>
    </w:p>
    <w:p>
      <w:r>
        <w:t>September 2016 ausgelöst, weshalb die Eingabe an die Schlichtungsbehörde am 30. Oktober 2016 rechtzeitig erfolgte. Auf die klägerische Eventualbegründung zu Art. 273 OR, die sich gegen die An- wendung der absoluten Empfangstheorie richtet (vgl. oben 7), muss unter diesen Umständen nicht eingegangen werden, da die Berufung ohnehin gutzuheissen ist. Ergänzend ist anzumerken, dass die spätere Zustellung für beide Ehegatten frist- auslösend ist, da erst dann die gesetzlich vorgeschriebene separate Zustellung erfolgte (Higi, ZK-OR, Art. 273 N 52). Das bedeutet, dass die Anfechtung grund- sätzlich nicht nur im Fall der Klägerin, sondern auch im Fall ihres Ehemannes rechtzeitig erfolgte. Der Ehemann verzichtete zwar auf den Weiterzug des vorinstanzlichen Urteils. Da über den gemeinsamen Mietvertrag nur einheitlich entschieden werden kann, wirkt die Aufhebung des vorinstanzlichen Urteils jedoch auch zu seinen Gunsten. (…)</w:t>
      </w:r>
    </w:p>
    <w:p>
      <w:r>
        <w:t>- 23 -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