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MB130001-L vom 14. Februar 2014</w:t>
      </w:r>
    </w:p>
    <w:p>
      <w:r>
        <w:t>Zh Bezirksgericht Zuerich, 2014-02-14, DE</w:t>
      </w:r>
    </w:p>
    <w:p>
      <w:r>
        <w:rPr>
          <w:b/>
        </w:rPr>
        <w:t xml:space="preserve">Quelle: </w:t>
      </w:r>
      <w:r>
        <w:t>https://mcp.opencaselaw.ch/entscheid/zh_bezirksgericht_zuerich_MB130001-L</w:t>
      </w:r>
    </w:p>
    <w:p>
      <w:r>
        <w:t>FR: ZH_BEZIRKSGERICHT_ZUERICH MB130001-L du 14 février 2014</w:t>
      </w:r>
    </w:p>
    <w:p>
      <w:r>
        <w:t>IT: ZH_BEZIRKSGERICHT_ZUERICH MB130001-L del 14 febbraio 2014</w:t>
      </w:r>
    </w:p>
    <w:p>
      <w:pPr>
        <w:pStyle w:val="Heading2"/>
      </w:pPr>
      <w:r>
        <w:t>Erwägungen</w:t>
      </w:r>
    </w:p>
    <w:p>
      <w:r>
        <w:rPr>
          <w:b/>
        </w:rPr>
        <w:t>E. 30</w:t>
      </w:r>
    </w:p>
    <w:p>
      <w:r>
        <w:t>Juni 2015. Der aktuelle Bruttomietzins beträgt Fr. 978'140.– pro Jahr zuzüg- lich Mehrwertsteuer, somit insgesamt Fr. 1'056'392.40 (act. 16 S. 4, S. 15). Grundsätzlich stellt die Indexierung einen ausschliesslichen Mietzinsanpassungs- grund dar (Lachat/Brutschin, a.a.O., S. 405). Bei einer Mieterstreckung bleibt die Indexierung weiterhin wirksam, weil die Voraussetzungen der Indexierung durch die Erstreckung gerade nicht dahinfallen (ZK-Higi, Art. 272c OR N 18 und Art. 269b OR N 130; CHK-P. Heinrich, Art. 272c-d OR N 4). Wenn die Parteien bspw. ein Vertragsverhältnis auf fünf Jahre und dabei für die Mietzinsgestaltung eine Indexklausel i.S.v. Art. 269b OR vereinbart haben, so gilt diese Klausel auch während der Dauer einer auf zwei Jahre bemessenen Mieterstreckung weiter (SVIT-Kommentar Mietrecht III, Art. 272c OR N 11). Diese Regelung gilt indes nur subsidiär. Der Gesetzgeber hat den Parteien näm- lich ausdrücklich in Art. 272c Abs. 1 OR das Recht eingeräumt, die Anpassung des (erstreckten) Vertrags an die (gerade durch die Erstreckung) veränderten Verhältnisse zu verlangen (ZK-Higi, Art. 269b OR N 131). Bei indexierten Mietzin- sen können die Parteien nach ihrer Wahl entweder eine Mietzinsanpassung nach der absoluten oder nach der relativen Methode auf den Zeitpunkt verlangen, auf den der unecht befristete Mietvertrag frühestens gekündigt werden kann (CHK- P. Heinrich, Art. 269b OR N 4) – vorliegend der 30. Juni 2015. Unabhängig von der Konstellation des Falls kann jede der beiden Parteien vom Richter stets ver- langen, mit Hilfe der absoluten Methode zu prüfen, ob der neue nach dem Ablauf der Minimaldauer der Indexmiete geltende Mietzins missbräuchlich sei oder nicht</w:t>
      </w:r>
    </w:p>
    <w:p>
      <w:r>
        <w:t>- 32 - (BGE 123 III 76 E. 4c, Originaltext französisch, auf Deutsch übersetzt und publi- ziert in: MRA 4/97 S. 147 ff., sowie mp 2/97 S. 94 ff.). 3.4. Bei der Ermittlung der Orts- und Quartierüblichkeit eines Mietzinses müssen nach bundesgerichtlicher Rechtsprechung wenigstens fünf Vergleichsobjekte ver- schiedener Vermieterschaften vorhanden sein, die im gleichen Ort bzw. gleichen Quartier gelegen sind wie die Mietsache, sich ausserdem innerhalb des Quartiers an vergleichbarer Lage befinden, und auch hinsichtlich der Grösse, Ausstattung, Zustand und Bauperiode vergleichbar sind (so neueres Urteil des Bundesgerichts 4A_675/2011 vom 9.2.2012, Originaltext französisch, auf Deutsch übersetzt und publ. in: mp 4/12 S. 293 ff.; BGE 123 III 317 E. 4, Originaltext französisch, auf Deutsch übersetzt und publiziert in: MRA 5/97 S. 185 ff., sowie mp 4/97 S. 215 ff.; SJZ 94/1998 S. 299 f.; Art. 11 Abs. 1 VMWG). Der beklagtische Rechtsvertreter brachte vor, die rund 384 m2 Verkaufsfläche im EG würden von den Parteien heute mit einem Mietzins von Fr.1'000.– pro m2 und Jahr berechnet, wohingegen er aufgrund von Erhebungen zum Ergebnis gelangt sei, dass der Quadratmeterpreis für die Ladenflächen im Erdgeschoss an einer mit dem Mietobjekt vergleichbaren Lage Fr. 2'200 pro m2 und Jahr betrage (act. 16 S. 14 f.). Dem hielt der klägerische Rechtsvertreter entgegen, kleinere Ladenlokale hätten immer einen höheren Quadratmeterpreis (act. 29 S. 15). Es spiele auch eine Rolle, wofür ein Geschäft gebraucht werde. So brauche ein Schmuckgeschäft viel weniger Platz, da es mit weniger Personal einen ähnlichen Umsatz erzielen und entsprechend einen höheren Mietzins leisten könne (Prot. S. 31). Ausserdem seien bisher einzelne Räume und Etagen des streitgegen- ständlichen Mietobjekts nie separat bewertet worden (act. 29 S. 15). Der beklagtische Rechtsvertreter reichte eine Liste mit acht Vergleichsobjekten betreffend Ladenlokalen ein (vgl. act. 18/16). Diese Vergleichsobjekte sind mit dem streitgegenständlichen Mietobjekt vergleichbar: Sie wurden alle als Rohbau vermietet wie das streitgegenständliche Mietobjekt (vgl. Anhang zum Mietvertrag Ziff. 1 in act. 4/2b S. 1 und act. 8/2), und liegen im Erdgeschoss. Ihre Lage ist teils in unmittelbarer Nähe und an vergleichbar guter Lage im Kreis 1. Zustand, Baupe- riode sowie die angegebenen Mietzinse blieben seitens der Klägerin unbestritten.</w:t>
      </w:r>
    </w:p>
    <w:p>
      <w:r>
        <w:t>- 33 - Diese Mietzinse entsprechen im Übrigen durchaus den dem Mietgericht bekann- ten Mietzinsen, die an diesen Lagen für solche Mietobjekte bezahlt werden. Die Grösse des Mietobjekts ist bei einem Vergleich der Quadratmeterpreise nach Art. 11 Abs. 2 VMWG nicht relevant (ZK-Higi, Art. 269a OR N 125). Dem Einwand der Klägerin, bei den Vergleichsobjekten sei zu berücksichtigen, wofür ein Ge- schäft gebraucht werde, ist insofern zu folgen, als beim Vergleich der Quadratme- terpreise von Geschäftsräumen zwischen Ladenlokalen, Archivräumen, Büroräu- men etc. zu unterscheiden ist (SVIT-Kommentar Mietrecht III, Art. 269a OR N 32). Die Art der Nutzung von Ladenlokalen kann jedoch nicht zusätzlich ein Kriterium für Vergleichsobjekte sein. Aus der von der Beklagten eingereichten Liste ist er- sichtlich, dass der durchschnittliche Quadratmeterpreis der Vergleichsobjekte Fr. 2'474.– beträgt (vgl. act. 18/16), was von der Klägerin nicht bestritten wurde. 3.5. Die Beklagte geht – wie erwähnt – von einem aktuellen Quadratmeterpreis im EG von Fr. 1'000.– aus, der auf Fr. 2'200.– zu erhöhen sei. Der klägerische Rechtsvertreter wandte ein, diese Zahlen stimmten nicht: Der neue Parterremiet- zins von Fr. 844'800.– (384 m2 x Fr. 2'200.–) entspreche 59% des auf Fr. 1'438'940.– erhöhten Mietzinses. Somit mache der aktuelle Mietzins für die Parterreräume Fr. 571'629.– aus (59% der aktuellen Gesamtmiete von Fr. 973'650.–), entsprechend einem Quadratmeterpreis von Fr. 1'489.– (vgl. act. 29 S. 15). Dabei lässt er jedoch ausser Acht, dass sich der Prozentanteil des Parterremietzinses am Gesamtmietzins gerade deshalb ändern muss, weil der Quadratmeterpreis nur im Parterre erhöht werden soll. Es ist daher falsch, den ak- tuellen Parterremietzins aufgrund des Prozentanteils des erhöhten Parterremiet- zinses am erhöhten Gesamtmietzins zu berechnen. Der klägerische Rechtsvertreter will weiter aufzeigen, dass die Zahlen der Beklag- ten nicht stimmen können. Dabei stützt er sich bei seiner Berechnung des aktuel- len Parterrequadratmetermietzinses auf die Annahme der Beklagten, der Par- terremietzins betrage Fr. 1'000.– pro Quadratmeter. Den dann errechneten Quad- ratmeterpreis von Fr. 1'489.– für die Parterreräume bezeichnet er als für eine grosse Fläche durchaus üblich und keineswegs zu tief (act. 29 S. 15). Den von der Beklagten genannten aktuellen Parterremietzins pro Quadratmeter bestreitet</w:t>
      </w:r>
    </w:p>
    <w:p>
      <w:r>
        <w:t>- 34 - er indes nicht direkt. Selber geht er in der Klageschrift von einem Quadratmeter- preis von rund Fr. 825.– für die Verkaufsflächen in allen drei Etagen aus (act. 1 S. 2). Eine Erhöhung des Quadratmeterpreises auf Fr. 2'200.– ausgehend von Fr. 825.– hätte eine weit grössere als die von der Klägerin verlangte Mietzinser- höhung zur Folge, weshalb der Annahme der Beklagten eines Quadratmeterprei- ses von Fr. 1'000.– im EG gefolgt werden kann. Insgesamt ergibt sich, dass der Beklagten der Nachweis eines orts- und quartierüblichen Mietzinses von Fr. 2'200.– pro m2 und Jahr für das Erdgeschoss gelungen ist. 3.6. Die Eventual-Widerklage ist somit gutzuheissen. IV. Kosten- und Entschädigungsfolgen Der Streitwert der Haupt- sowie der Eventual-Widerklage beträgt insgesamt Fr. 5'755'760.– (Art. 94 Abs. 2 ZPO; Hauptklage 4 Jahre Erstreckung = 4 x aktuel- ler Bruttojahresmietzins von Fr. 978'140.– = Fr. 3'912'560.–; Eventual-Widerklage = 4 x Fr. 460'800.– = Fr. 1'843'200.–). Die Kosten- und Entschädigungsfolgen bemessen sich nach Obsiegen und Unterliegen der Parteien im Prozess (Art. 106 ZPO). Der Hauptklage kommt im Verhältnis zur Eventual-Widerklage mehr Be- deutung zu, was bei den Kosten- und Entschädigungsfolgen entsprechend zu gewichten ist. Die Klägerin beantragt mit der Hauptklage eine erstmalige Erstre- ckung des Mietverhältnisses um vier Jahre (act. 1 S. 2), die Beklagte die Abwei- sung (act. 16 S. 2). Das Gericht gewährt eine definitive Erstreckung von einem Jahr bis 30. Juni 2016. Die Beklagte obsiegt betreffend die Hauptklage somit zu 3/4 und hinsichtlich der Eventual-Widerklage vollständig. Da wie erwähnt der Hauptklage grössere Bedeutung zuzumessen ist als der Eventual-Widerklage, rechtfertigt es sich, die Kosten der Klägerin zu 4/5 und der Beklagten zu 1/5 auf- zuerlegen. Ausserdem ist die Klägerin zu verpflichten, der Beklagten eine Partei- entschädigung von 3/5 zu bezahlen. Die Grundgebühr für die Parteientschädi- gung beträgt unter Berücksichtigung von § 4 Abs. 3 AnwGebV rund Fr. 50'000.–. Diese deckt den Aufwand für die erste Rechtsschrift ab. Für die Hauptverhand- lung ist ein Zuschlag von 1/5 der ordentlichen Gebühr von Fr. 50'000.– zu be- rechnen (§ 11 AnwGebV), entsprechend Fr. 10'000.–, so dass sich volle Partei-</w:t>
      </w:r>
    </w:p>
    <w:p>
      <w:r>
        <w:t>- 35 - entschädigung auf insgesamt Fr. 60'000.– beliefe. Die Parteientschädigung der Beklagten ist somit auf Fr. 36'000.– zuzüglich 8 % MWSt festzusetzen. Bei der Bemessung der Gerichtsgebühr ist § 7 GebV angemessen zu berücksichtigen. Das Mietgericht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