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GG240247 vom 8. Mai 2025</w:t>
      </w:r>
    </w:p>
    <w:p>
      <w:r>
        <w:t>Zh Bezirksgericht Zuerich, 2025-05-08, DE</w:t>
      </w:r>
    </w:p>
    <w:p>
      <w:r>
        <w:rPr>
          <w:b/>
        </w:rPr>
        <w:t xml:space="preserve">Quelle: </w:t>
      </w:r>
      <w:r>
        <w:t>https://mcp.opencaselaw.ch/entscheid/zh_bezirksgericht_zuerich_GG240247</w:t>
      </w:r>
    </w:p>
    <w:p>
      <w:r>
        <w:t>FR: ZH_BEZIRKSGERICHT_ZUERICH GG240247 du 8 mai 2025</w:t>
      </w:r>
    </w:p>
    <w:p>
      <w:r>
        <w:t>IT: ZH_BEZIRKSGERICHT_ZUERICH GG240247 del 8 maggio 2025</w:t>
      </w:r>
    </w:p>
    <w:p>
      <w:pPr>
        <w:pStyle w:val="Heading2"/>
      </w:pPr>
      <w:r>
        <w:t>Erwägungen</w:t>
      </w:r>
    </w:p>
    <w:p>
      <w:r>
        <w:rPr>
          <w:b/>
        </w:rPr>
        <w:t>E. 1</w:t>
      </w:r>
    </w:p>
    <w:p>
      <w:r>
        <w:t>Strafanzeige Am 15. Oktober 2018 liess B._____ (nachfolgend: Privatkläger 1) gegen den Be- schuldigten bei der Staatsanwaltschaft III des Kantons Zürich (nachfolgend: Staats- anwaltschaft) Strafanzeige betreffend Verdacht der qualifizierten ungetreuen Ge- schäftsbesorgung, des gewerbsmässigen Betrugs, der Urkundenfälschung und des gewerbsmässigen Wuchers etc. einreichen (act. 20101001 ff.). Der Anzeigeerstat- ter machte hauptsächlich geltend, der Beschuldigte habe als berufsmässiger Ver- mögensverwalter entgegen der getroffenen Vereinbarung einer konservativen An- lagestrategie sein Vermögen in Lombardkredite investiert und damit seine Vermö- gensfürsorgepflicht verletzt. Er habe den zulässigen Aktienanteil von 30 % des ge- samten von ihm verwalteten Vermögens überschritten und damit sein Vermögen bewusst einem höheren Risiko ausgesetzt, als er gewollt habe. Weiter habe der Beschuldigte ihm keine Rechenschaft über die Retrozessionen abgelegt, die er von den Banken der investierten Vermögenswerte erhalten habe.</w:t>
      </w:r>
    </w:p>
    <w:p>
      <w:r>
        <w:rPr>
          <w:b/>
        </w:rPr>
        <w:t>E. 1.1</w:t>
      </w:r>
    </w:p>
    <w:p>
      <w:r>
        <w:t>Mit Verfügung der Staatsanwaltschaft vom 20. Februar 2023 wurde die K._____ AG [Bank] aufgefordert, sämtliche Aufzeichnungen für den Zeitraum ab</w:t>
      </w:r>
    </w:p>
    <w:p>
      <w:r>
        <w:t>- 15 - 1. Januar 2010 bis 20. Februar 2023 der Geschäftsbeziehungen lautend auf B._____, die C._____ SA oder die C._____ Group und die D._____ Corporation sowie sämtliche Geschäftsbeziehungen, in Bezug auf die B._____ unterschriftsbe- rechtigt und/oder wirtschaftlich beteiligt ist oder war und sämtliche Geschäftsbezie- hungen, in Bezug auf die ein von B._____ unterschriebener Vermögensverwal- tungsvertrag oder eine von B._____ unterschriebene Ermächtigung vorliegt, einzu- reichen (act. 41001001 ff.). Die K._____ AG leistete diesem Ansinnen mit Zuschrift vom 16. März 2023 Folge (act. 41001011 f.) und reichte die gewünschten Doku- mente ein (act. 41002001-41002621; act. 41003001-41003328; act. 41004001- 41004046; act. 51005001-41006505; act. 41007001-41007090; act. 41008001- 41008068).</w:t>
      </w:r>
    </w:p>
    <w:p>
      <w:r>
        <w:rPr>
          <w:b/>
        </w:rPr>
        <w:t>E. 1.2</w:t>
      </w:r>
    </w:p>
    <w:p>
      <w:r>
        <w:t>Mit Verfügung der Staatsanwaltschaft vom 10. Oktober 2023 wurde die K._____ AG um weitere Auskünfte im Zusammenhang mit den an den Beschuldig- ten geleisteten Vergütungen/Retrozessionen ersucht (act. 41009001 f.). Mit Ein- gabe vom 10. November 2023 nahm die K._____ AG zu den aufgeworfenen Fragen Stellung und reichte weitere Dokumente ein (act. 41009009-41009025). 2. L._____ AG Weiter verlangte die Staatsanwaltschaft mit Editionsbegehren vom 20. Februar 2023 bei der L._____ AG [Bank] sämtliche Unterlagen (vollständiges Kundendos- sier, sämtliche Notizen der Bank, sämtliche Vereinbarungen und Abrechnungen mit dem Beschuldigten bzw. der F._____ GmbH betreffend Vergütungen und Retro- zessionen, sämtliche Unterlagen über Lombardkredite, sämtliche Portfolio Valuati- ons, vollständige Konto- und Depotauszüge sowie sämtliche Detailbelege sowie Instruktionen der Kundschaft über Barbezüge oder Lastschriften zugunsten ande- rer Geschäftsbeziehungen bei derselben Bank oder anderen Banken) für den Zeit- raum von 1. Januar 2010 bis 20. Februar 2023 hinsichtlich sämtlichen Geschäfts- beziehungen lautend auf B._____, die C._____ SA oder die C._____ Group und die D._____ Corporation oder an denen B._____ zumindest mitverfügungsberech- tigt, wirtschaftlich berechtigt war oder ist oder in Bezug auf die ein von B._____ unterschriebener Vermögensverwaltungsvertrag oder Ermächtigung vorliegt (act. 40601001 ff.). Die L._____ AG teilte mit Zuschrift vom 28. Februar 2023 mit,</w:t>
      </w:r>
    </w:p>
    <w:p>
      <w:r>
        <w:t>- 16 - dass in ihren Registern, keine Kundenbeziehung lautend auf B._____, C._____ SA, C._____ Group oder D._____ Corporation hätte festgestellt werden können. Im März/April 2014 hätte eine Bankbeziehung lautend auf die D._____ Corporation eröffnet werden sollen, die Kundenbeziehung mit der D._____ Corporation sei je- doch letzten Endes nicht zustande gekommen (act. 40601007 f.). 3. Ehemalige M._____ AG c/o N._____ AG bzw. N._____ (Schweiz) AG Auch die ehemalige M._____ AG [Bank] c/o N._____ AG [Bank] wurde mit Verfü- gung der Staatsanwaltschaft vom 20. Februar 2023 aufgefordert, alle für den Zeit- raum ab 1. Januar 2010 vorhandenen Aufzeichnungen der Geschäftsbeziehungen lautend auf B._____, die C._____ SA, die C._____ Group oder die D._____ Cor- poration herauszugeben bzw. sämtliche Geschäftsbeziehungen, in Bezug auf die B._____ unterschriftsberechtigt war oder in Bezug auf die ein von B._____ unter- schriebener Vermögensverwaltungsvertrag oder eine von B._____ unterschrie- bene Ermächtigung vorliegt, herauszugeben (act. 40701001 ff.). Mit Zuschrift vom 2. März 2023 teilte sowohl die N._____ (Schweiz) AG als auch die N._____ AG mit, dass für den fraglichen Zeitraum vom 1. Januar 2010 bis 20. Februar 2023 keine in den Umfang der Verfügung fallenden Beziehungen festgestellt worden seien (act. 40701012 f.). 4. O._____ AG</w:t>
      </w:r>
    </w:p>
    <w:p>
      <w:r>
        <w:rPr>
          <w:b/>
        </w:rPr>
        <w:t>E. 1.3</w:t>
      </w:r>
    </w:p>
    <w:p>
      <w:r>
        <w:t>Mit Verfügung der Staatsanwaltschaft betreffend Augenschein, Editionsein- ladung und Durchsuchung von Aufzeichnungen vom 1. März 2023 wurde die An- waltskanzlei J._____ zur Herausgabe sämtlicher Unterlagen des Beschuldigten und/oder der F._____ GmbH betreffend B._____, die C._____ SA, die C._____ Group und die D._____ Corporation eingeladen. Weiter wurde verfügt, dass die Staatsanwaltschaft und Polizei die Herausgabe der Aufzeichnungen in den Räu- men der Anwaltskanzlei besichtigen sowie die Aufzeichnungen durchsucht würden (act. 40401001 ff.). Den Akten ist nicht zu entnehmen, ob und inwiefern seitens der Anwaltskanzlei J._____ Unterlagen betreffend den Beschuldigten und/oder die F._____ GmbH hinsichtlich B._____ bzw. dessen Unternehmen herausgegeben wurden. 2. Beschlagnahmungen Mit Beschlagnahme- und Akturierungsverfügung vom 21. Juni 2024 wurden die an- lässlich der Hausdurchsuchung vom 2. März 2024 sichergestellten Gegenstände (sieben grüne Bundesordner und eine Kartonschachtel weiss) beschlagnahmt (act. 80101001 ff.). C. Editionen / Aktenbeizug 1. K._____ AG</w:t>
      </w:r>
    </w:p>
    <w:p>
      <w:r>
        <w:rPr>
          <w:b/>
        </w:rPr>
        <w:t>E. 2</w:t>
      </w:r>
    </w:p>
    <w:p>
      <w:r>
        <w:t>Eröffnungsverfügung / Delegation</w:t>
      </w:r>
    </w:p>
    <w:p>
      <w:r>
        <w:rPr>
          <w:b/>
        </w:rPr>
        <w:t>E. 2.1</w:t>
      </w:r>
    </w:p>
    <w:p>
      <w:r>
        <w:t>Mit Eröffnungsverfügung vom 15. November 2022 eröffnete die Staatsan- waltschaft in Anwendung von Art. 309 StPO eine Strafuntersuchung gegen den Beschuldigten wegen qualifizierter ungetreuer Geschäftsbesorgung und gewerbs- mässigen Betrugs (act. 10101001). Das lange Zuwarten der Anhandnahme wurde seitens der Staatsanwaltschaft damit begründet, dass die Bearbeitung aus Res- sourcengründen nicht eher möglich gewesen sei (act. 70101001).</w:t>
      </w:r>
    </w:p>
    <w:p>
      <w:r>
        <w:rPr>
          <w:b/>
        </w:rPr>
        <w:t>E. 2.2</w:t>
      </w:r>
    </w:p>
    <w:p>
      <w:r>
        <w:t>Sodann wurde die Kantonspolizei Zürich mit Verfügung vom 17. Fe- bruar 2023 ersucht, einen Sachbearbeiter zu bestimmen, und es wurde ihr der Auf- trag erteilt, im Rahmen der bereits eröffneten Untersuchung eine Hausdurchsu- chung in den Wohn- und Geschäftsräumen des Beschuldigten durchzuführen (act. 30101003 f.).</w:t>
      </w:r>
    </w:p>
    <w:p>
      <w:r>
        <w:t>- 11 -</w:t>
      </w:r>
    </w:p>
    <w:p>
      <w:r>
        <w:rPr>
          <w:b/>
        </w:rPr>
        <w:t>E. 3</w:t>
      </w:r>
    </w:p>
    <w:p>
      <w:r>
        <w:t>Der Beweisantrag der Privatklägerschaft ging am 20. Dezember 2024 ein (act. 9), wozu die Staatsanwaltschaft mit Eingabe vom 6. Januar 2025 und der Be- schuldigte innert erstreckter Frist mit Eingabe vom 23. Januar 2025 Stellung nah- men (act. 10; act. 14; act. 18; act. 21). Von den übrigen Parteien wurden keine Beweisanträge gestellt. Mit Verfügung vom 24. Januar 2025 wurde der Beweisan- trag der Privatklägerschaft einstweilen abgewiesen (act. 22).</w:t>
      </w:r>
    </w:p>
    <w:p>
      <w:r>
        <w:rPr>
          <w:b/>
        </w:rPr>
        <w:t>E. 4</w:t>
      </w:r>
    </w:p>
    <w:p>
      <w:r>
        <w:t>Mit Eingabe vom 31. Dezember 2024 reichte die Verteidigung des Beschul- digten eine "Stellungnahme des Beschuldigten A._____ zu den Fragen anlässlich der Einvernahme vom 15. Februar 2023" samt Beilagen ein (act. 12/1-2; act. 13/1- 68). Diese wurde der Rechtsvertretung der Privatklägerschaft und der Staatsan- waltschaft gleichentags elektronisch und hernach per Post zugestellt (act. 15). Mit Eingabe vom 8. Januar 2025 beantragte die Rechtsvertretung der Privatkläger-</w:t>
      </w:r>
    </w:p>
    <w:p>
      <w:r>
        <w:t>- 12 - schaft, die am 9. Januar 2025 ablaufende Frist zur Begründung der Zivilansprüche sei abzunehmen, eventualiter sei die Frist um 30 Tage zu erstrecken, sowie die auf den 28. Januar 2025 anberaumte Hauptverhandlung sei abzunehmen unter Vor- nahme einer neuen Terminierung der Hauptverhandlung (act. 16). Nachdem der Beschuldigte bisher von seinem Aussageverweigerungsrecht Gebrauch gemacht hatte (vgl. act. 50101001 ff.), nahm er mit seiner Eingabe vom 31. Dezember 2024 erstmals Stellung zur Sache. Seine schriftliche Stellungnahme umfasste insgesamt 38 Seiten und wurde mit mehreren hundert Seiten Beilagen ergänzt (act. 12/2; act. 13/1-68). Diese Stellungnahme ging beim Gericht unaufgefordert am 7. Januar 2025 und damit lediglich zwei Tage vor Ablauf der letztmals erstreckten Frist der Privatklägerschaft zur Begründung ihrer Zivilansprüche ein. Da diese Stellung- nahme auch die Zivilansprüche der Privatklägerschaft betraf, wurde ihr – zur Wah- rung ihres rechtlichen Gehörs – Gelegenheit eingeräumt, diese zu überprüfen und in ihre Begründung der Zivilansprüche einarbeiten zu können. Folglich wurde die Frist der Privatklägerschaft zur Bezifferung und Begründung ihrer Zivilansprüche mit Verfügung vom 9. Januar 2025 erneut ein letztes Mal um 20 Tage erstreckt. Als Folge davon wurde auch das Gesuch der Privatklägerschaft um Verschiebung der Hauptverhandlung gutgeheissen (act. 17). Die Hauptverhandlung wurde neu – nach Absprache mit den Parteien – auf den 29. April 2025 angesetzt (act. 24; act. 25).</w:t>
      </w:r>
    </w:p>
    <w:p>
      <w:r>
        <w:rPr>
          <w:b/>
        </w:rPr>
        <w:t>E. 4.1</w:t>
      </w:r>
    </w:p>
    <w:p>
      <w:r>
        <w:t>Mit Verfügung vom 20. Februar 2023 erliess die Staatsanwaltschaft gegen- über der O._____ AG [Bank] die Verfügung, ebenfalls sämtliche Aufzeichnungen der Geschäftsbeziehungen für den Zeitraum vom 1. Januar 2010 bis 20. Fe- bruar 2023 herauszugeben, die auf B._____, die C._____ SA oder die C._____ Group oder die D._____ Corporation lauten sowie sämtliche Geschäftsbeziehun- gen, in Bezug auf die B._____ unterschriftsberechtigt und/oder wirtschaftlich be- rechtigt ist oder war bzw. in Bezug auf die ein von B._____ unterschriebener Ver- mögensverwaltungsvertrag oder eine von B._____ unterschriebene Ermächtigung vorliegt (act. 40801001 ff.). Mit Zuschrift vom 28. Februar 2023 teilte die O._____ AG mit, dass zwei Geschäftsbeziehungen sowohl lautend auf B._____ als auch auf die D._____ Corporation hätten identifiziert werden können und reichte die ge- wünschten Dokumente ein (act. 40801007-40801790).</w:t>
      </w:r>
    </w:p>
    <w:p>
      <w:r>
        <w:t>- 17 -</w:t>
      </w:r>
    </w:p>
    <w:p>
      <w:r>
        <w:rPr>
          <w:b/>
        </w:rPr>
        <w:t>E. 4.2</w:t>
      </w:r>
    </w:p>
    <w:p>
      <w:r>
        <w:t>Mit Schreiben vom 10. Oktober 2023 ersuchte die Staatsanwaltschaft um weitere Auskunft und Belege betreffend Retrozessionen der Geschäftsbeziehung D._____ Corporation für die Jahre 2014 bis 2016 (act. 40802001 f.). Am 7. Novem- ber 2023 leistete die O._____ AG dem Ersuchen Folge und reichte weitere Doku- mente ein (act. 40802008-40802115). 5. P._____ AG Die P._____ AG [Bank] wurde mit Verfügung der Staatsanwaltschaft vom 20. Fe- bruar 2023 ebenfalls aufgefordert, alle für den Zeitraum ab 1. Januar 2010 vorhan- denen Aufzeichnungen der Geschäftsbeziehungen lautend auf B._____, die C._____ SA, die C._____ Group oder die D._____ Corporation herauszugeben bzw. sämtliche Geschäftsbeziehungen, in Bezug auf die B._____ unterschriftsbe- rechtigt ist oder war oder in Bezug auf die ein von B._____ unterschriebener Ver- mögensverwaltungsvertrag oder eine von B._____ unterschriebene Ermächtigung vorliegt, herauszugeben (act. 40901001 ff.). Am 28. Februar 2023 teilte die P._____ AG mit, dass für den fraglichen Zeitraum vom 1. Januar 2010 bis 20. Fe- bruar 2023 keine geschäftlichen Beziehungen mit den in der Verfügung aufgeführ- ten Personen oder Firmen festgestellt worden seien (act. 40901006). 6. PolyReg Allgemeiner Selbstregulierungs-Verein Mit Editionsverfügung vom 2. September 2024 wurde der PolyReg Allg. Selbstre- gulierungs-Verein seitens der Staatsanwaltschaft aufgefordert, die Prüfungsbe- richte für die Prüfungen der F._____ GmbH bzw. des Beschuldigten in den Jahren 2017, 2018 und 2019 herauszugeben (act. 41201001 ff.). Mit Schreiben vom</w:t>
      </w:r>
    </w:p>
    <w:p>
      <w:r>
        <w:rPr>
          <w:b/>
        </w:rPr>
        <w:t>E. 5</w:t>
      </w:r>
    </w:p>
    <w:p>
      <w:r>
        <w:t>Mit Eingabe vom 4. Februar 2025 erfolgte seitens der Privatklägerschaft die Begründung der Zivilforderung samt Beilagen (act. 27; act. 28/1-8).</w:t>
      </w:r>
    </w:p>
    <w:p>
      <w:r>
        <w:rPr>
          <w:b/>
        </w:rPr>
        <w:t>E. 6</w:t>
      </w:r>
    </w:p>
    <w:p>
      <w:r>
        <w:t>Anlässlich der Hauptverhandlung vom 29. April 2025 wurde der Beschul- digte zur Person und zur Sache befragt (act. 37). Die Privatklägerschaft hielt an ihrem Beweisantrag vom 19. Dezember 2024 fest (Prot. S. 8). Es folgten die Par- teivorträge (Prot. S. 9 ff.) und der Beschuldigte hatte die Gelegenheit, ein Schluss- wort zu halten (Prot. S. 38 ff.). Das Urteil wurde am 8. Mai 2025 beraten (Prot. S. 41) und den Parteien am 14. Mai 2025 mündlich eröffnet und im Dispositiv über- geben (Prot. S. 44, act. 43).</w:t>
      </w:r>
    </w:p>
    <w:p>
      <w:r>
        <w:t>- 13 - II. Prozessuales A. Zuständigkeit Die örtliche Zuständigkeit des hiesigen Bezirksgerichtes beruht auf Art. 31 StPO, da der Beschuldigte die angeklagten Taten an der Adresse der Büroräumlichkeiten der F._____ GmbH (seit 16. Juni 2014 in der Stadt Zürich an der G._____-strasse 1 bzw. der H._____-strasse 2) verübt haben soll. Zuvor befand sich der Sitz der Gesellschaft in I._____ ZG (vgl. act. 20101014). Da es vorliegend folglich mehrere Ausführungsorte (Zürich und I._____) für die qualifizierte ungetreue Geschäftsbe- sorgung gibt, kommt das forum praeventionis gemäss Art. 31 Abs. 2 StPO zur An- wendung. Zum gleichen Ergebnis würde man gelangen, wenn man nach Art. 34 Abs. 1 StPO vorginge. Für die Annahme von ersten Verfolgungshandlungen ge- nügt jedes menschliche Tätigwerden, also auch die blosse Kenntnisnahme einer Strafanzeige (SCHLEGEL STEPHAN, in: Donatsch/Lieber/Summers Sarah/Wohlers [Hrsg.], Kommentar zur Schweizerischen Strafprozessordnung StPO, 3. Aufl., Zü- rich/Basel/Genf 2020, Art. 31 N 27). Am 15. Oktober 2018 reichte Rechtsanwalt lic. iur. Y1._____ namens und im Auftrag des Privatklägers 1 Strafanzeige gegen den Beschuldigten bei der Staatsanwaltschaft III des Kantons Zürich ein. Da es sich dabei nicht um einen örtlich unzuständigen, sondern einen Tatortkanton handelt, ist die Zuständigkeit vorliegend erfüllt. Die sachliche Zuständigkeit ergibt sich aus § 22 GOG i.V.m. § 27 Abs. 1 lit. b Ziff. 1 GOG. B. Hausdurchsuchungen / Sicherstellungen / Beschlagnahmungen 1. Hausdurchsuchungen und Sicherstellungen</w:t>
      </w:r>
    </w:p>
    <w:p>
      <w:r>
        <w:rPr>
          <w:b/>
        </w:rPr>
        <w:t>E. 7</w:t>
      </w:r>
    </w:p>
    <w:p>
      <w:r>
        <w:t>März 2023 verwiesen (act. 50102001 ff.).</w:t>
      </w:r>
    </w:p>
    <w:p>
      <w:r>
        <w:rPr>
          <w:b/>
        </w:rPr>
        <w:t>E. 12</w:t>
      </w:r>
    </w:p>
    <w:p>
      <w:r>
        <w:t>Dezember 2022 stellte die Staatsanwaltschaft bei der Oberstaatsanwaltschaft des Kantons Zürich, Staatsanwalt für amtliche Mandate, den Antrag auf Bestellung einer amtlichen Verteidigung für den Beschuldigten (act. 70201014 f.). Mit Verfü- gung vom 13. Dezember 2022 wurde Rechtsanwalt X1._____ gestützt auf Art. 132 Abs. 1 lit. a StPO in Verbindung mit Art. 130 lit. b StPO mit Wirkung auf 8. Dezem- ber 2022 als amtlicher Verteidiger des Beschuldigten bestellt (act. 70201020 f.). F. Privatklägerschaft B._____ bevollmächtigte am 15. Oktober 2018 Rechtsanwalt lic. iur. Y1._____ als Rechtsvertreter (act. 20101013). Mit Strafanzeige vom 15. Oktober 2018 erfolgte die Konstituierung als Straf- und Zivilklägerschaft im Sinne von Art. 118 Abs. 1 StPO, wobei die Zivilforderung noch nicht beziffert wurde (act. 20101001 ff.). Die Bezifferung und Begründung der Zivilansprüche der Privatklägerschaft erfolgte mit Eingabe vom 4. Februar 2025 (act. 27; act. 28/1-8). G. Anklageprinzip 1. Die Anklageschrift bezeichnet gemäss Art. 325 Abs. 1 lit. f StPO möglichst kurz, aber genau die der beschuldigten Person vorgeworfenen Taten mit Beschrei- bung von Ort, Datum, Zeit, Art und Folgen der Tatausführung. Nach dem aus Art. 29 Abs. 2 und Art. 32 Abs. 2 BV sowie aus Art. 6 Ziff. 1 und 3 lit. a und b EMRK abgeleiteten und in Art. 9 Abs. 1 und Art. 325 StPO festgeschriebenen Anklage- 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BGE 143 IV 63</w:t>
      </w:r>
    </w:p>
    <w:p>
      <w:r>
        <w:t>- 20 - E. 2.2; 141 IV 132 E. 3.4.1 je mit Hinweisen). Die beschuldigte Person muss aus der Anklage ersehen können, wessen sie angeklagt ist. Sie darf nicht Gefahr laufen, erst an der Gerichtsverhandlung mit neuen Anschuldigungen konfrontiert zu wer- den (BGE 143 IV 63 E. 2.2 mit Hinweisen). Das Gericht ist an den in der Anklage wiedergegebenen Sachverhalt gebunden (Immutabilitätsprinzip), nicht aber an des- sen rechtliche Würdigung durch die Anklagebehörde (Art. 350 Abs. 1 StPO). Das Anklageprinzip ist verletzt, wenn die angeklagte Person für Taten verurteilt wird, bezüglich welcher die Anklageschrift den inhaltlichen Anforderungen nicht genügt, oder wenn das Gericht mit seinem Schuldspruch über den angeklagten Sachverhalt hinausgeht (Urteile des Bundesgerichtes 6B_1404/2020 vom 17. Januar 2022 E. 1.3; 6B_760/2021 vom 8. Oktober 2021 E. 1.1; 6B_63/2020 vom 10. März 2021 E. 2.2; je mit Hinweisen; zum Ganzen: Urteil des Bundesgerichtes 6B_709/2021 vom 12. Mai 2022 E. 1.2). 2. Anlässlich der Hauptverhandlung rügte die amtliche Verteidigung sinnge- mäss eine Verletzung des Anklageprinzips, indem sie festhielt, dass der Staatsan- walt im Rahmen seines Plädoyers anerkannt habe, dass die 30 %-Grenzen in Be- zug auf den zulässigen Aktienanteil sowie die zulässige Belehnungshöhe als flexi- ble Bandbreiten zu verstehen seien, sich dies aber gerade nicht in der Anklage- schrift niederschlage und nun unklar sei, was angeklagt sei (Prot. S. 17 f. und S. 34). Eine Verletzung des Anklagegrundsatzes ist nicht ersichtlich. Die Ausfüh- rungen der Staatsanwaltschaft anlässlich der Hauptverhandlung (Prot. S. 10 und 12) vermögen nichts am angeklagten Sachverhalt zu ändern, der mit der Anklage- schrift vom 30. September 2024 klar eingegrenzt und definiert wurde. Wie die Ver- teidigung selbst anmerkte, fanden die entsprechenden Ausführungen des Staats- anwalts, wobei er diese anlässlich der Replik teilweise relativierte und auf den an- geklagten Sachverhalt verwies (Prot. S. 26), keinen Eingang in die Anklageschrift. Dem Beschuldigten und seiner amtlichen Verteidigung war aufgrund der dort genau umschriebenen Prozentwerte klar, gegen welche Vorwürfe sie sich zu verteidigen haben.</w:t>
      </w:r>
    </w:p>
    <w:p>
      <w:r>
        <w:t>- 21 - H. Verjährung 1. Die dem Beschuldigten vorgeworfene mehrfache ungetreue Geschäftsbe- sorgung, ein Vergehen, das mit Freiheitsstrafe bis zu drei Jahren oder Geldstrafe bestraft wird (Art. 158 Ziff. 1 Abs. 1 StGB), sowie die mehrfache qualifizierte unge- treue Geschäftsbesorgung, welche mit Freiheitsstrafe bis zu fünf Jahren oder Geldstrafe bestraft wird (Art. 158 Ziff. 1 Abs. 3 StGB), reichen teilweise zeitlich weit zurück. Es ist daher zu prüfen, ob diese, dem Beschuldigten vorgeworfenen Hand- lungen verjährt sind. 2. Gemäss Art. 98 lit. a StGB beginnt die Verjährung mit dem Tag, an dem der Täter die strafbare Tätigkeit ausführt. Die ungetreue Geschäftsbesorgung ist als Zustandsdelikt und nicht als Dauerdelikt ausgestaltet (vgl. Beschluss des Bundes- strafgerichtes BB.2020.203 vom 21. Juli 2021 Erw. 4.3.2 f.). Das strafrechtliche Un- recht erschöpft sich bei Zustandsdelikten in der Herbeiführung des rechtswidrigen Zustandes, unabhängig davon, ob dieser in der Folge fortdauert oder nicht. Dem- entsprechend beginnt die Verjährung bei Zustandsdelikten grundsätzlich (spätes- tens) im Zeitpunkt, in dem das letzte objektive Tatbestandselement verwirklicht wird. Bei Vermögensdelikten ist dies in der Regel der Vermögensschaden, welcher bereits in einer schadensgleichen Vermögensgefährdung bestehen kann. Lehre und Praxis haben sich allerdings bis anhin nicht einheitlich darauf festgelegt, ob das letzte Tatbestandselement im Eintritt des Vermögensschadens oder mit Erlan- gung des unrechtmässigen Vorteils liegt. Im Entscheid vom 23. November 2018, welcher explizit die Verjährung eines Zustandsdeliktes (im Zusammenhang mit ei- ner darauf gestützten Schadenersatzforderung) betraf, stellte das Bundesgericht für den Beginn der Verjährungsfrist letztlich auf die Vermögensdisposition der Ge- schädigten und damit auf den endgültigen Schadenseintritt ab (vgl. Urteil des Bun- desgerichtes 6B_64/2018 vom 23. November 2018 E. 4.2). 3. Führt der Täter die strafbare Tätigkeit zu verschiedenen Zeiten aus, beginnt die Verjährung mit dem Tag der letzten Tätigkeit (Art. 98 lit. b StGB). Es stellt sich die Frage, unter welchen Umständen mehrere tatsächliche Handlungen rechtlich als Einheit zu qualifizieren sind, was nur noch ausnahmsweise der Fall ist (Urteil des Bundesgerichts 6B_1200/2021 vom 15. September 2023 E. 3.2.). Eine tatbe-</w:t>
      </w:r>
    </w:p>
    <w:p>
      <w:r>
        <w:t>- 22 - standliche Handlungseinheit liegt dabei vor, wenn das tatbestandsmässige Verhal- ten schon begrifflich, faktisch oder doch typischerweise mehrere Einzelhandlungen voraussetzt, was etwa auf die Tatbestände des Raubes oder der Misswirtschaft zutrifft. Eine natürliche Handlungseinheit ist gemäss bundesgerichtlicher Recht- sprechung anzunehmen, wenn mehrere Einzelhandlungen auf einem einheitlichen Willensakt beruhen und diese wegen des engen räumlichen und zeitlichen Zusam- menhangs bei objektiver Betrachtung noch als ein einheitliches zusammengehöri- ges Geschehen erscheinen. Eine natürliche Handlungseinheit fällt jedoch ausser Betracht, wenn zwischen den einzelnen Handlungen, auch wenn sie aufeinander bezogen sind, ein längerer Zeitraum liegt. Eine tatbestandliche Handlungseinheit ist vorliegend kein Thema. Vielmehr könnte im Einzelfall eine natürliche Handlungs- einheit gegeben sein. 4. Die Strafverfolgung von Vergehen wie der ungetreuen Geschäftsbesorgung verjährt – nach dem neuen, ab 1. Januar 2014 geltenden Verjährungsrecht – in 10 Jahren (Art. 97 Abs. 1 lit. c StGB). Unter altem Verjährungsrecht – mithin vor dem 1. Januar 2014 (Revision des Verjährungsrechts) – verjährten solche Taten bereits nach 7 Jahren (Art. 97 Abs. 1 lit. c i.V.m. lit. b aStGB [Fassung bis 31. De- zember 2013]). Allfällige vor dem 1. Januar 2014 erfolgten pflichtwidrigen Verhal- tensweisen im Zusammenhang mit der angeblichen Überschreitung des zulässigen Aktienanteils von 30 % sowie der angeblichen pflichtwidrigen Überbelehnung von mehr als 30 % wären damit verjährt. Die Anklage wirft dem Beschuldigten allerdings lediglich für den Zeitraum vom 1. April 2015 bis 30. Juni 2016 eine Pflichtverletzung vor, welche zu einem Performance-Schaden infolge Überschreitens des angeblich zulässigen Aktienanteils von 30 % und der angeblich pflichtwidrigen Überbeleh- nung von mehr als 30 % geführt haben soll. Gemäss Anklagesachverhalt soll der Beschuldigte den zulässigen Aktienanteil sowie die zulässige Belehnungsgrenze von jeweils 30 % im Zeitraum vom 1. April 2015 bis 30. Juni 2016 an allen in der Anklageschrift aufgelisteten Quartalsstichtagen überschritten haben (vgl. act. 1010 4008 f. Rz 18 und 19). Die dem Beschuldigten vorgeworfenen Handlungen erschei- nen somit als einheitliches, zusammengehöriges Geschehen. Sie basieren auf dem mutmasslich einheitlichen Willensakt des Beschuldigten, sich nicht an die (angeb- lichen) Vorgaben der Privatklägerschaft halten zu wollen. Zudem weisen die ange-</w:t>
      </w:r>
    </w:p>
    <w:p>
      <w:r>
        <w:t>- 23 - klagten Tathandlungen einen engen räumlichen und zeitlichen Zusammenhang auf, da der Beschuldigte die angeblich mit der Privatklägerschaft abgesprochenen Grenzwerte konstant und fortdauernd überschritten haben soll. Sowohl mit Begrün- dung einer natürlichen Handlungseinheit als auch unter Berücksichtigung des Zeit- punkts des vollumfänglichen Schadenseintritts beginnt die Verjährung am 30. Juni 2016 zu laufen. Im Ergebnis läuft 10-jährige Verjährungsfrist erst am 30. Juni 2026 ab. Daraus ergibt sich, dass betreffend die eingeklagte mehrfache ungetreue Ge- schäftsbesorgung die Verjährung noch nicht eingetreten ist. 5. Die qualifizierte ungetreue Geschäftsbesorgung gemäss Art. 158 Ziff. 1 Abs. 3 StGB wird mit Freiheitsstrafe von mehr als drei Jahren bestraft, womit die Strafverfolgung in 15 Jahren verjährt (Art. 97 Abs. 1 lit. b StGB), was bereits unter dem altem Verjährungsrecht – mithin vor dem 1. Januar 2014 (Revision des Ver- jährungsrechts) – so war. Gemäss Anklage erhielt der Beschuldigte von der Q._____ AG, der O._____ AG und der K._____ AG in der Zeit vom 1. März 2010 bis 30. Juni 2016 Management Fees in der Gesamthöhe von CHF 38'254.14 und von der O._____ AG sowie der K._____ AG in der Zeit vom 1. Oktober 2009 bis 30. September 2016 Retrozessionen in der Gesamthöhe von CHF 185'669.86 (vgl. act. 10104006 f. Rz 16 und 17; act. 10104011 f. Rz 21 und 22). Sowohl die fehlende Rechenschaftsablegung über die Retrozessionen als auch die Nichtherausgabe der eingenommenen Retrozes- sionen und Management Fees werden dem Beschuldigten als strafbare Pflichtver- letzungen vorgeworfen. Die letzte Management Fee sei per Quartalsende 30. Juni 2016 angefallen, die letzten Retrozessionen habe der Beschuldigte per 30. Sep- tember 2016 erhalten. Die letzten Vermögensdispositionen der jeweiligen Banken waren somit mutmasslich erst zu diesen Zeitpunkten abgeschlossen. Die 15-jährige Verjährungsfrist begann dementsprechend am 30. Juni 2016 (betreffend Manage- ment Fees) bzw. am 30. September 2016 (betreffend Retrozessionen) mit der Überweisung der letzten Gelder in den Herrschaftsbereich des Beschuldigten und endet damit erst am 30. Juni 2031 respektive 30. September 2031. Nichts anderes ergibt sich unter Berücksichtigung, dass bei Unterlassungsdelikten die Verjährung an dem Tag beginnt, an dem der Garant hätte handeln sollen bzw. die Handlungs- pflicht endet (Urteil des Bundesgerichts 6B_1026/2008 vom 1. Mai 2009 E. 2.2.1).</w:t>
      </w:r>
    </w:p>
    <w:p>
      <w:r>
        <w:t>- 24 - Hinzu kommt, dass auch bei diesem angeklagten Sachverhaltskomplex klar ein ein- heitliches Geschehen vorliegt, welches auf einem einheitlichen Willensakt des Be- schuldigten beruht. Gemäss Anklageschrift soll sich der Beschuldigte zu Beginn des Auftragsverhältnisses dazu entschlossen haben, die Privatklägerschaft nicht über die ihr zustehenden Retrozessionen zu informieren und ihr diese, wie auch die zu hohen Management Fees, fortan nicht herauszugeben. Aus all diesen Grün- den ergibt sich, dass betreffend die eingeklagte mehrfache qualifizierte ungetreue Geschäftsbesorgung die Verjährung auch noch nicht eingetreten ist. I. Beweisanträge 1. Im Vorverfahren sowie teilweise auch im Vorfeld der Hauptverhandlung ha- ben der Beschuldigte sowie die Privatklägerschaft von ihrem Recht auf Beweisan- träge Gebrauch gemacht und Anträge auf Abnahme von weiteren Beweismitteln gestellt. Dem Beweisantrag des Beschuldigten, die Prüfberichte der "PolyAsset - die Standesregulierung der SRO PolyReg" für die Prüfungen der F._____ GmbH in den Jahren 2017-2019 einzuholen, wurde seitens der Staatsanwaltschaft entspro- chen (act. 10103041 ff.; act. 41201001 ff.). Mit Entscheid der Untersuchungsbe- hörde vom 2. September 2024 respektive mit gerichtlicher Verfügung vom 24. Ja- nuar 2025 wurde der Antrag der Privatklägerschaft um Einholung eines Ergän- zungsgutachtens abgewiesen respektive einstweilen abgelehnt (vgl. act. 10103046 f.; act. 22). Anlässlich der Hauptverhandlung liess die Privatkläger- schaft ihren zuvor (einstweilen) abgelehnten Beweisantrag wieder einbringen (Prot. S. 8), woraufhin die Einzelrichterin erklärte, dass über den Beweisantrag mit dem Endentscheid entschieden werde. Der Beweisantrag ist aus den nachfolgenden Gründen mit dem Endentscheid definitiv abzuweisen. 2. Bereits an dieser Stelle ist festzuhalten, dass Anträge auf beweiskräftige Feststellung einer bestimmten Beweistatsache im Sinne einer antizipierten Beweis- würdigung definitiv abschlägig beantwortet werden können, wenn die entspre- chende Tatsache unerheblich, offenkundig, bereits bekannt oder bereits rechtsge- nügend erwiesen ist (Art. 139 Abs. 2 StPO). Beweisermittlungsanträge dagegen aktualisieren die Amtsaufklärungspflicht der Strafverfolgungsorgane, das heisst, ih- nen ist dann zu folgen, wenn das verfahrenstragende Organ dies im Rahmen seiner</w:t>
      </w:r>
    </w:p>
    <w:p>
      <w:r>
        <w:t>- 25 - Pflicht, die relevanten Beweise zu ermitteln und zu erheben, für geboten erachtet (SK StPO-WOHLERS, Art. 139 N 7). 3. Die Privatklägerschaft lässt ein Ergänzungsgutachten beantragen, das den angeblichen Schaden gestützt auf die Annahme berechnen soll, wonach die Ver- wendung jeglicher Lombardkredite (und nicht nur die Überschreitung des in der Anklage erwähnten Grenzwertes von 30 %) unzulässig gewesen sei (vgl. act. 9). Gemäss bundesgerichtlicher Rechtsprechung unterliegt die Berechnung des Scha- dens bei ungetreuer Geschäftsbesorgung nicht dem Anklageprinzip (Urteile des Bundesgerichtes 6B_140/2020 vom 3. Juni 2021 E. 3 und 6B_959/2017 vom 29. März 2018 E. 3.4.1). Ein solcher ausschliesslich auf die Schadensberechnung gerichteter Beweisantrag betrifft somit eine unerhebliche Tatsache im Sine von Art. 318 Abs. 2 StPO. Darüber hinaus basiert der Beweisantrag der Privatkläger- schaft auf der Grundlage, dass keine Belehnung erlaubt gewesen wäre. Wie der Vertreter der Privatklägerschaft selbst konstatiert (Prot. S. 31), basiert die Anklage- schrift der Staatsanwaltschaft auf der Tatsache, dass eine Belehnungsgrenze von 30 % zulässig gewesen sei. Darauf ist abzustellen. Das Gericht ist an den in der Anklage umschriebenen Sachverhalt gebunden (Art. 350 Abs. 1 StPO). Das bean- tragte Ergänzungsgutachten dient somit auch nicht der Klärung des Anklagesach- verhalts und könnte das Beweisergebnis nicht ändern, sodass dem Beweisantrag keine Folge zu leisten ist. III. Standpunkt des Beschuldigten A. Staatsanwaltschaftliche Einvernahme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