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ER200219-L vom 21. Dezember 2020</w:t>
      </w:r>
    </w:p>
    <w:p>
      <w:r>
        <w:t>Zh Bezirksgericht Zuerich, 2020-12-21, DE</w:t>
      </w:r>
    </w:p>
    <w:p>
      <w:r>
        <w:rPr>
          <w:b/>
        </w:rPr>
        <w:t xml:space="preserve">Quelle: </w:t>
      </w:r>
      <w:r>
        <w:t>https://mcp.opencaselaw.ch/entscheid/zh_bezirksgericht_zuerich_ER200219-L</w:t>
      </w:r>
    </w:p>
    <w:p>
      <w:r>
        <w:t>FR: ZH_BEZIRKSGERICHT_ZUERICH ER200219-L du 21 décembre 2020</w:t>
      </w:r>
    </w:p>
    <w:p>
      <w:r>
        <w:t>IT: ZH_BEZIRKSGERICHT_ZUERICH ER200219-L del 21 dicembre 2020</w:t>
      </w:r>
    </w:p>
    <w:p>
      <w:pPr>
        <w:pStyle w:val="Heading2"/>
      </w:pPr>
      <w:r>
        <w:t>Erwägungen</w:t>
      </w:r>
    </w:p>
    <w:p>
      <w:r>
        <w:rPr>
          <w:b/>
        </w:rPr>
        <w:t>E. 4</w:t>
      </w:r>
    </w:p>
    <w:p>
      <w:r>
        <w:t>Rechtliche Würdigung</w:t>
      </w:r>
    </w:p>
    <w:p>
      <w:r>
        <w:rPr>
          <w:b/>
        </w:rPr>
        <w:t>E. 4.1</w:t>
      </w:r>
    </w:p>
    <w:p>
      <w:r>
        <w:t>Gegenstand des Vertragsverhältnisses sind die entgeltliche Überlassung von Wohnraum sowie entgeltliche Betreuungsleistungen. Zu klären ist, ob für dessen Kündigung die mietrechtlichen Formvorschriften zur Anwendung gelan- gen.</w:t>
      </w:r>
    </w:p>
    <w:p>
      <w:r>
        <w:rPr>
          <w:b/>
        </w:rPr>
        <w:t>E. 4.2</w:t>
      </w:r>
    </w:p>
    <w:p>
      <w:r>
        <w:t>Kombiniert ein Vertrag Elemente verschiedener gesetzlich normierter Ver- tragstypen zu einem einheitlichen Vertrag, so liegt ein gemischter Vertrag vor (statt vieler: GAUCH/SCHLUEP/SCHMID/EMMENEGGER, OR AT, § 2 Rz. 252). Mit Blick auf die Vertragskündigung neigt die bundesgerichtliche Rechtsprechung dazu, gemischte Verträge einer einheitlichen Regel zu unterstellen (BGE 131 III 566 Erw. 3.1; 118 II 157 Erw. 3; BGer, 4A_102/2013, 17.10.2013, Erw. 2.2). Es unterstellt gemischte Verträge stets dann den mietrechtlichen Schutzbestimmun- gen, wenn das mietrechtliche Element vertragswesentlich ist (BGer, 4A_113/2012, 13.11.2012, Erw. 2; BSK OR I-WEBER, Vor Art. 253–273c N 4 a.E. sowie Art. 253a/253b N 17; ZK OR-HIGI/BÜHLMANN, Vor Art. 253–273c N 200).</w:t>
      </w:r>
    </w:p>
    <w:p>
      <w:r>
        <w:rPr>
          <w:b/>
        </w:rPr>
        <w:t>E. 4.3</w:t>
      </w:r>
    </w:p>
    <w:p>
      <w:r>
        <w:t>Der Heim-, Pensions- oder Betreuungs- und Beherbergungsvertrag setzt sich gemeinhin aus miet- und auftragsrechtlichen Komponenten zusammen, wo- bei die mietrechtlichen Elemente je nach Betreuungsintensität und Sach- bzw. Dienstleistungsangebot in den Hintergrund treten können. Teile der Lehre zählen ihn daher zu den Mietverträgen mit typfremder Hauptleistung (IRÈNE BIBER, Die</w:t>
      </w:r>
    </w:p>
    <w:p>
      <w:r>
        <w:t>- 4 - Anwendung mietrechtlicher Bestimmungen auf gemischte Verträge, in: mp 1/2014 S. 1 ff., 27; BREITSCHMID/STECK/WITTWER, Der Heimvertrag, in: FamPra.ch 2009 S. 867 ff., 875 ff.; ZK OR-HIGI/BÜHLMANN, Vor Art. 253–273c N 214), mit der Folge, dass die mietrechtlichen Schutzbestimmungen nicht zur Anwendung ge- langen (so SVIT Komm.-ROHRER, Vor Art. 253–273c N 47). Nach anderer Mei- nung zählen namentlich der Heim-, Pensions- oder Beherbergungsvertrag stets zu den Verträgen mit wesentlichem mietvertraglichem Anteil (so BSK OR I-WE- BER, Art. 253a/253b N 18; ähnlich Mietrecht für die Praxis-PÜNTENER, S. 52 f., ge- mäss dem die Überlassung der Mietsache zum Gebrauch keineswegs nur eine Nebenleistung sei und mindestens gleichwertig zu den Verpflegungs-, Pflege- und Betreuungselementen stehe). Zur Begründung wird angeführt, auch Einrich- tungen des betreuten Wohnens hätten für gewöhnlich in erster Linie den Zweck, dem Bewohner ein möglichst selbständiges Leben und ein zu Hause zu sichern, weshalb die Kündigungsschutzbestimmungen des Mietrechts zur Anwendung ge- langen müssten (BSK OR I-WEBER, Art. 253a/253b N 17a m.w.H.). Massgeblich wäre mit anderen Worten nicht, welches Element im Einzelfall überwiegt, son- dern vielmehr, ob das mietvertragliche Element wesentlich sei. Wird die Frage bejaht, so führt dies ungeachtet der übrigen Vertragsinhalte grundsätzlich zur An- wendbarkeit der mietrechtlichen Schutznormen.</w:t>
      </w:r>
    </w:p>
    <w:p>
      <w:r>
        <w:rPr>
          <w:b/>
        </w:rPr>
        <w:t>E. 4.4</w:t>
      </w:r>
    </w:p>
    <w:p>
      <w:r>
        <w:t>Ob die Betreuung des Gesuchsgegners im Vergleich mit der Überlassung des Zimmers eher die Haupt- oder lediglich eine Nebenleistung darstellt, lässt sich vorliegend nicht zweifelsfrei klären. Dies liegt zum einen am von der Ge- suchstellerin nur sehr knapp geschilderten Sachverhalt, zum andern aber auch daran, dass die Beantwortung dieser Frage einer wertenden Abwägung und da- mit eines Ermessensentscheides bedürfte, was im Verfahren betreffend Rechts- schutz in klaren Fällen nur in besonders eindeutigen Fällen zulässig ist (vgl. Erw. 2 oben). Im Sinne eines Zwischenergebnisses lässt sich zumindest festhal- ten, dass die Überlassung des WG-Zimmers an den Gesuchsgegner – das miet- rechtliche Vertragselement – nach Massgabe des behaupteten Sachverhalts je- denfalls nicht offensichtlich vertragsunwesentlich erscheint. Entsprechend ist es gestützt auf die dargestellte Lehre und Rechtsprechung jedenfalls vertretbar, das</w:t>
      </w:r>
    </w:p>
    <w:p>
      <w:r>
        <w:t>- 5 - vorliegende Vertragsverhältnis den mietrechtlichen Kündigungsschutzbestim- mungen zu unterstellen.</w:t>
      </w:r>
    </w:p>
    <w:p>
      <w:r>
        <w:rPr>
          <w:b/>
        </w:rPr>
        <w:t>E. 4.5</w:t>
      </w:r>
    </w:p>
    <w:p>
      <w:r>
        <w:t>Die Kündigung des Mietverhältnisses durch den Vermieter hat bei Wohn- oder Geschäftsräumen auf einem vom Kanton genehmigten Formular zu erfolgen (Art. 266l Abs. 2 OR), andernfalls sie nichtig ist (Art. 266o OR).</w:t>
      </w:r>
    </w:p>
    <w:p>
      <w:r>
        <w:rPr>
          <w:b/>
        </w:rPr>
        <w:t>E. 4.6</w:t>
      </w:r>
    </w:p>
    <w:p>
      <w:r>
        <w:t>Gemäss Darstellung im Gesuch hat die Gesuchstellerin den Betreuungs- vertrag gegenüber dem Gesuchsgegner am 28. September 2020 mündlich ge- kündigt und die Kündigung am 29. September 2020 per Einschreiben schriftlich bestätigt. Die Gesuchstellerin verweist zu diesem Zweck auf […] das Kündi- gungsschreiben und die Postaufgabequittung. Beide Kündigungen genügen den Anforderungen gemäss Art. 266l Abs. 2 OR nicht: Die mündliche Kündigung oh- nehin nicht, die schriftliche nicht, weil sie nicht auf dem amtlichen Formular er- folgt ist.</w:t>
      </w:r>
    </w:p>
    <w:p>
      <w:r>
        <w:rPr>
          <w:b/>
        </w:rPr>
        <w:t>E. 4.7</w:t>
      </w:r>
    </w:p>
    <w:p>
      <w:r>
        <w:t>Finden die mietrechtlichen Schutzbestimmungen Anwendung, so führt dies zur Ungültigkeit der Kündigung. Damit hängt die Frage, ob die Gesuchstelle- rin das Vertragsverhältnis gültig gekündigt hat, von der Qualifikation des Ver- tragsverhältnisses ab, worüber – wie gezeigt – kein klares Recht im Sinne von Art. 257 Abs. 1 lit. b ZPO besteht. Die Rechtsfolge, wonach der Gesuchsgegner das von ihm bewohnte Zimmer an der N.-strasse Y in Zürich unverzüglich zu räu- men und der Gesuchstellerin ordnungsgemäss zu übergeben hat, ergibt sich da- mit bei Anwendung des Gesetzes unter Berücksichtigung der Lehre und Recht- sprechung nicht ohne Weiteres eindeutig. Auf das Gesuch ist daher in Anwen- dung von Art. 257 Abs. 3 ZPO nicht einzutreten.</w:t>
      </w:r>
    </w:p>
    <w:p>
      <w:r>
        <w:rPr>
          <w:b/>
        </w:rPr>
        <w:t>E. 4.8</w:t>
      </w:r>
    </w:p>
    <w:p>
      <w:r>
        <w:t>Offen bleiben kann bei diesem Ergebnis insbesondere auch die Frage, wer Vertragspartner der Gesuchstellerin ist. Denkbar wäre, dass diese mit dem Gesuchsgegner konkludent einen Betreuungsvertrag geschlossen hat, da dieser zwar den vorgelegten Vertrag nicht unterzeichnen wollte, aber dennoch in die be- treute WG eingezogen ist. Als Vertragspartnerin in Frage kommt jedoch auch die Gemeinde M., welche für die Kosten der Unterbringung und Betreuung des Ge-</w:t>
      </w:r>
    </w:p>
    <w:p>
      <w:r>
        <w:t>- 6 - suchsgegners durch die Gesuchstellerin aufgekommen ist. Nicht auszuschlies- sen wäre ferner die Variante, dass sowohl der Gesuchsgegner als auch die Ge- meinde M. gemeinsam Vertragspartner geworden sind.</w:t>
      </w:r>
    </w:p>
    <w:p>
      <w:r>
        <w:rPr>
          <w:b/>
        </w:rPr>
        <w:t>E. 5</w:t>
      </w:r>
    </w:p>
    <w:p>
      <w:r>
        <w:t>Nebenfolgen Bei diesem Ausgang des Verfahrens sind die Kosten der Gesuchstellerin aufzu- erlegen (Art. 106 Abs. 1 ZPO). Der Gesuchsgegner war nicht anzuhören. Eine Parteientschädigung steht ihm nicht zu. Da sich die Parteien über den Streitwert nicht geeinigt haben (siehe Art. 91 Abs. 2 ZPO), ist für dessen Bemessung praxisgemäss von sechs Bruttomonats- mietzinsen auszugehen. Der monatliche Bruttomietzins liegt bei Fr. 4'000.–, wo- mit ein Streitwert von Fr. 24'000.– resultiert. Der Streitwert übersteigt damit Fr. 10'000.–. Gegen diesen Entscheid ist folglich die Berufung gegeben (Art. 308 Abs. 1 lit. a und Art. 308 Abs 2 ZPO). (…)» Zürcher Mietrechtspraxis (ZMP): Entscheidungen des Mietgerichtes und der Schlichtungsbe- hörde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