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ZH_BEZIRKSGERICHT_ZUERICH CN090005-L vom 27. Oktober 2009</w:t>
      </w:r>
    </w:p>
    <w:p>
      <w:r>
        <w:t>Zh Bezirksgericht Zuerich, 2009-10-27, DE</w:t>
      </w:r>
    </w:p>
    <w:p>
      <w:r>
        <w:rPr>
          <w:b/>
        </w:rPr>
        <w:t xml:space="preserve">Quelle: </w:t>
      </w:r>
      <w:r>
        <w:t>https://mcp.opencaselaw.ch/entscheid/zh_bezirksgericht_zuerich_CN090005-L</w:t>
      </w:r>
    </w:p>
    <w:p>
      <w:r>
        <w:t>FR: ZH_BEZIRKSGERICHT_ZUERICH CN090005-L du 27 octobre 2009</w:t>
      </w:r>
    </w:p>
    <w:p>
      <w:r>
        <w:t>IT: ZH_BEZIRKSGERICHT_ZUERICH CN090005-L del 27 ottobre 2009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Demzufolge sei die Betreibung Nr. 118981, Zahlungsbefehl vom 24. November 2008, des Betreibungsamtes Zürich 7 aufzuheben.</w:t>
      </w:r>
    </w:p>
    <w:p>
      <w:r>
        <w:rPr>
          <w:b/>
        </w:rPr>
        <w:t>E. 4</w:t>
      </w:r>
    </w:p>
    <w:p>
      <w:r>
        <w:t>Neufestsetzung der Kosten- und Entschädigungsfolge im Verfahren der Vorinstanz.</w:t>
      </w:r>
    </w:p>
    <w:p>
      <w:r>
        <w:rPr>
          <w:b/>
        </w:rPr>
        <w:t>E. 5</w:t>
      </w:r>
    </w:p>
    <w:p>
      <w:r>
        <w:t>Bei diesem Ausgang des Verfahrens wird die Beschwerdegegnerin für das erstinstanzliche Verfahren kosten- und entschädigungspflichtig. Da sich die Beschwerdegegnerin auch am zweitinstanzlichen Verfahren beteiligte und heute ihren Standpunkt zur Nichtigkeitsbeschwerde darlegte, wird sie auch für dieses Verfahren kosten- und entschädigungspflichtig. Die vorliegend gestützt auf § 13 in Verbindung mit § 3 Abs. 1 und 3 der Verordnung des Obergerichts über die Ge- richtsgebühren festzusetzenden Pauschalgebühr ist deshalb vollumfänglich der Beschwerdegegnerin aufzuerlegen. Sodann ist die Beschwerdegegnerin zu ver- pflichten, dem Beschwerdeführer für das erst- und zweitinstanzliche Verfahren ei- ne Prozessentschädigung zu bezahlen. Das 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