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AH190053-L vom 23. Oktober 2019</w:t>
      </w:r>
    </w:p>
    <w:p>
      <w:r>
        <w:t>Zh Bezirksgericht Zuerich, 2019-10-23, DE</w:t>
      </w:r>
    </w:p>
    <w:p>
      <w:r>
        <w:rPr>
          <w:b/>
        </w:rPr>
        <w:t xml:space="preserve">Quelle: </w:t>
      </w:r>
      <w:r>
        <w:t>https://mcp.opencaselaw.ch/entscheid/zh_bezirksgericht_zuerich_AH190053-L</w:t>
      </w:r>
    </w:p>
    <w:p>
      <w:r>
        <w:t>FR: ZH_BEZIRKSGERICHT_ZUERICH AH190053-L du 23 octobre 2019</w:t>
      </w:r>
    </w:p>
    <w:p>
      <w:r>
        <w:t>IT: ZH_BEZIRKSGERICHT_ZUERICH AH190053-L del 23 ottobre 2019</w:t>
      </w:r>
    </w:p>
    <w:p>
      <w:pPr>
        <w:pStyle w:val="Heading2"/>
      </w:pPr>
      <w:r>
        <w:t>Erwägungen</w:t>
      </w:r>
    </w:p>
    <w:p>
      <w:r>
        <w:rPr>
          <w:b/>
        </w:rPr>
        <w:t>E. 1</w:t>
      </w:r>
    </w:p>
    <w:p>
      <w:r>
        <w:t>Prozessgeschichte Mit Eingabe vom 4. April 2019 (Datum Poststempel) reichte der Kläger die vorlie- gende Klage mit den eingangs erwähnten Rechtsbegehren ein (act. 1 S. 2). Die Klagebewilligung der Stadt Zürich, Kreise … und …, datiert vom 5. März 2019 (act. 3); die Frist gemäss Art. 209 Abs. 3 ZPO wurde gewahrt. In der Folge wur- den die Parteien zur Hauptverhandlung auf den 2. September 2019 vorgeladen (act. 5). Anlässlich der Hauptverhandlung erstatteten die Parteien alle Parteivor- träge (Prot. S. 3 ff.). Mit Verfügung vom 11. September 2019 wurde dem Kläger Frist angesetzt, um dem Gericht mitzuteilen, ob er auf das Editionsbegehren be- treffend die Provisionsabrechnung, inkl. Eventualbegehren, sowie auf die ab- schliessende Bezifferung der Provisionsforderung verzichte (act. 14). Mit Eingabe vom 19. September 2019 erklärte der Kläger den entsprechenden Verzicht (act. 16). Das Verfahren erweist sich als spruchreif.</w:t>
      </w:r>
    </w:p>
    <w:p>
      <w:r>
        <w:rPr>
          <w:b/>
        </w:rPr>
        <w:t>E. 1.1</w:t>
      </w:r>
    </w:p>
    <w:p>
      <w:r>
        <w:t>Die Beklagte macht geltend, der Kläger habe von April 2017 bis Dezem- ber 2017 während 484.32 Stunden seine geschuldete Arbeitsleistung nicht er- bracht und dennoch Lohn dafür erhalten. Dies ergebe einen Betrag von Fr. 24'058.596, welcher mit allfälligen Ansprüchen des Klägers zu verrechnen sei (act. 11 Rz. 10). Massgebend sei nicht die vom Kläger ins Recht gelegte Arbeitszeiterfassungsta- belle (act. 4/5), welche dessen reine Präsenzzeit darlege, sondern die Leistungs- übersicht (act. 13), die der Kläger gemäss den Weisungen der Beklagten erstellt habe (act. 11 Rz. 10). Die Mitarbeiter seien verpflichtet gewesen, sämtliche Tätig- keiten, insbesondere auch interne und nicht verrechenbare Arbeiten in der Leis- tungserfassung aufzunehmen. Diese Weisung sei – wie alle anderen Weisungen auch – dem Kläger bekannt gewesen (act. 11 Rz. 6 f.). Die Präsenzzeit des Klä- gers begründe keinen bedingungslosen Lohnanspruch, sondern es sei lediglich die erbrachte Arbeitstätigkeit des Klägers zu vergüten. Die erbrachte Arbeitstätig- keit sei anhand der Leistungserfassung zu erkennen, die nicht im Einklang mit der vom Kläger geltend gemachten Präsenzzeit stehe (Prot. S. 29 f.). Die Beklagte habe sodann nicht die Arbeitszeiterfassungstabellen des Klägers, sondern die Leistungserfassung täglich entgegengenommen, nachdem sie durch den Kläger ausgefüllt worden sei (Prot. S. 32). Die Diskrepanz zwischen der Soll-Arbeitszeit und der effektiv geleisteten Arbeits- zeit rühre insbesondere daher, dass das Personal der Beklagten, inkl. der Kläger, im Jahre 2017 ausser Rand und Band gewesen sei. Es hätte langwierige Pausen bei Abwesenheiten der Partner sowie Kaffeekränzchen in der Küche gemacht, sei morgens verspätet erschienen und abends verfrüht gegangen. Zudem hätten</w:t>
      </w:r>
    </w:p>
    <w:p>
      <w:r>
        <w:t>- 10 - vermehrt sehr lange private oder intrigante Gespräche und heimliche Diskussio- nen stattgefunden. Der Kläger habe auch sehr oft mit Mitarbeitern und Mitarbeite- rinnen über WhatsApp kommuniziert, sich immer wieder in Fälle anderer Mitarbei- ter eingelesen und generell sämtliche Fälle der Kanzlei sowie deren Korrespon- denzen durchstöbert. Die Mitarbeiter, inkl. dem Kläger, seien in der Folge durch die Beklagte an die "engere Leine" genommen worden (act. 11 Rz. 13).</w:t>
      </w:r>
    </w:p>
    <w:p>
      <w:r>
        <w:rPr>
          <w:b/>
        </w:rPr>
        <w:t>E. 1.2</w:t>
      </w:r>
    </w:p>
    <w:p>
      <w:r>
        <w:t>Der Kläger bestreitet, dass er die monatliche Soll-Arbeitszeit nicht erfüllt ha- be und somit Lohn für nicht erbrachte Arbeitsleistung erhalten habe. Er bestreitet weiter, dass nur die Leistung zu entschädigen sei. Zwischen den Parteien sei ein Zeitlohn und nicht ein Leistungslohn vereinbart worden, d.h. geschuldet sei Prä- senzzeit bzw. Arbeitszeit gewesen. Das von der Beklagten vorgebrachte Leis- tungserfassungssystem betreffe nur mandatsbezogene Aufwände. Die ins Recht gelegte Leistungstabelle (act. 13) sei dem Kläger nicht bekannt (Prot. S. 13, S. 15, S. 17 f.). Weiter bestreitet der Kläger, ausser Rand und Band gewesen zu sein, langwierige Pausen oder Kaffeekränzchen gemacht und intrigante Gespräche geführt zu ha- ben. Unzutreffend sei auch, dass er während der Arbeitszeit sehr oft über WhatsApp kommuniziert und sich in Fälle und Korrespondenzen der Beklagten eingelesen habe, die ihn nicht betroffen hätten. Er sei sodann morgens weder verspätet zur Arbeit erschienen noch abends zu früh weggegangen. Dies widerle- ge auch die von ihm eingereichte Arbeitszeiterfassungstabelle (Prot. S. 18 f.).</w:t>
      </w:r>
    </w:p>
    <w:p>
      <w:r>
        <w:rPr>
          <w:b/>
        </w:rPr>
        <w:t>E. 1.3</w:t>
      </w:r>
    </w:p>
    <w:p>
      <w:r>
        <w:t>Arbeitet ein Arbeitnehmer weniger als vertraglich vereinbart worden ist, wird von Minusstunden gesprochen. Als Folge von Minusstunden des Arbeitnehmers kann die Arbeitgeberin einen Lohnabzug vornehmen, sofern kein gesetzlicher Ausnahmetatbestand vorliegt, bei dem die Arbeitgeberin den Lohn trotz fehlender Arbeitsleistung zu bezahlen hat. Dazu zählen der Arbeitgeberverzug nach Art. 324 OR sowie die unverschuldete Arbeitsverhinderung des Arbeitnehmers nach Art. 324a/b OR (BGE 4A_291/2008, Kommentierung durch PIETRUSZAK in ARV 2009 S. 125).</w:t>
      </w:r>
    </w:p>
    <w:p>
      <w:r>
        <w:t>- 11 - Bei vom Arbeitnehmer verursachten Minusstunden gilt der Grundsatz, dass ohne Arbeitsleistung kein Lohn zu bezahlen und ein Lohnabzug gerechtfertigt ist. In- nerhalb derselben Abrechnungsperiode kann die Lohnzahlung gestützt auf Art. 82 und Art. 119 Abs. 2 OR entsprechend der Minderleistung verweigert werden. Soll hingegen der Lohnabzug erst in einem späteren Zeitpunkt erfolgen, so ist Art. 82 OR nicht mehr anwendbar. Hingegen hat der Arbeitgeber für den in einer früheren Abrechnungsperiode zu viel bezahlten Lohn einen bereicherungsrechtlichen Rückforderungsanspruch, den er mit späteren Lohnforderungen verrechnen kann (BGE 4A_291/2008 in JAR 2009 S. 429 ff.; siehe Kommentierung durch PIETRUSZAK in ARV 2009 S. 125). Nicht Stellung genommen hat das Bundesgericht im genannten Ent- scheid zur Frage, wie lange der Arbeitgeber einen solchen Lohnabzug bei Minus- stunden vornehmen kann. Bezahlt die Arbeitgeberin trotz Minusstunden den vol- len Lohn vorbehaltlos aus, läuft sie Gefahr, dass sie ihren Anspruch auf Rückfor- derung oder Verrechnung verwirkt (SENTI, Rückforderung oder Verrechnung zu viel bezahlter Leistungen durch den Arbeitgeber, in AJP 2014, S. 51; ablehnend hingegen PIETRUSZAK in ARV 2009 S. 126). Das Arbeitsgericht Zürich erachtete die Verrechnung mit dem Lohn in der Kündigungsfrist zumindest dann als unzu- lässig, als ein Arbeitgeber den Lohn während mehrerer Jahre trotz ersichtlicher Minusstunden am Ende des Monats vorbehaltlos voll auszahlte (AGer ZH in ZR 2002 Nr. 62). Gemäss bundesgerichtlicher Rechtsprechung kann der Arbeit- nehmer von einem Verzicht des Arbeitgebers ausgehen, wenn es der Arbeitgeber unterlässt, Ansprüche, die ihm dem Umfang oder dem Grundsatz nach bekannt sind, vor Beendigung des Arbeitsverhältnisses geltend zu machen, insbesondere unter vorbehaltloser Auszahlung des letzten Lohnes (BGE 110 II 344, E. 2b; be- stätigt in BGE 4A_351/2011, E. 2.2).</w:t>
      </w:r>
    </w:p>
    <w:p>
      <w:r>
        <w:rPr>
          <w:b/>
        </w:rPr>
        <w:t>E. 1.4</w:t>
      </w:r>
    </w:p>
    <w:p>
      <w:r>
        <w:t>Die Beklagte macht geltend, der Kläger habe insbesondere im Jahr 2017 Minusstunden angehäuft und verweist dabei lediglich pauschal darauf, dass für das Jahr 2018 das Gleiche gelte (act. 11 Rz. 10). Unbestrittenermassen hat die Beklagte – ausgenommen des Lohnes für den Monat Mai 2018 – sämtliche Löhne ausbezahlt und keinerlei Vorbehalte in Bezug auf angehäufte Minusstunden an-</w:t>
      </w:r>
    </w:p>
    <w:p>
      <w:r>
        <w:t>- 12 - gebracht. Zur Nichtbezahlung des Lohnes für den Monat Mai 2018 führt die Be- klagte aus, sie habe diesen aufgrund einer ungeklärten Sachlage betreffend die Bezahlung einer amtlichen Mandatierung nicht ausgerichtet, bis weitere Gege- benheiten zum Vorschein gekommen seien (Prot. S. 7). Die Beklagte macht somit nicht geltend, sie habe die Minusstunden mit dem letzten Lohn des Klägers ver- rechnet, obwohl sie gemäss eigenen Ausführungen die für sie relevante Leis- tungserfassung täglich entgegengenommen habe und somit Kenntnis von den Leistungen des Klägers gehabt habe. Die Verrechnungserklärung der Beklagten erfolgt daher verspätet. Darüber hinaus sind die diesbezüglichen Ausführungen der Beklagten unsubstan- tiiert. Aus der von ihr eingereichten und vom Kläger bestrittenen Leistungsüber- sicht (act. 13) ist nicht ersichtlich, wie sich die Berechnung der Beklagten zusam- mensetzt, insbesondere an welchen Tagen der Kläger zu wenig gearbeitet haben soll. Wann und wie lange der Kläger konkret Pausen und Kaffeekränzchen ge- macht haben soll, wann er morgens zu spät erschienen und abends zu früh ge- gangen sei, wann und mit wem er über WhatsApp kommuniziert habe und wie oft, wann er sich in andere Fälle und Korrespondenzen eingelesen habe, wie oft und die Zeitdauer wurden nicht vorgebracht. Aufgrund der unsubstantiierten Ausfüh- rungen wäre ein Beweisverfahren nicht durchführbar. Es ist nicht erstellt, dass der Kläger im Zeitraum von April 2017 bis Dezember 2017 484.32 Stunden zu wenig gearbeitet hat. Ein verrechenbarer Anspruch der Beklagten aufgrund vertragswid- rig zu viel ausbezahlten Lohnes besteht somit nicht. 2. Entgangenes Honorar</w:t>
      </w:r>
    </w:p>
    <w:p>
      <w:r>
        <w:rPr>
          <w:b/>
        </w:rPr>
        <w:t>E. 2</w:t>
      </w:r>
    </w:p>
    <w:p>
      <w:r>
        <w:t>Anerkannt und unbestritten ist, dass der Kläger Anspruch auf den Lohn für den Monat Mai 2018 in der Höhe von Fr. 9'000.– brutto bzw. Fr. 8'171.60 netto hat (act. 11 Rz. 27, Prot. S. 10, S. 33). Die vom Kläger geltend gemachten Spe- sen in der Höhe von Fr. 92.10 wurden von der Beklagten ebenfalls anerkannt; im Übrigen wären sie ungenügend bestritten (act. 11 Rz. 27, Prot. S. 10, S. 33). So- dann anerkannte die Beklagte Fr. 2'500.– brutto von dem vom Kläger geltend gemachten Provisionsanspruch in der Höhe von Fr. 3'926.90 brutto (act. 8 Rz. 3, Prot. S. 10 f.). Unbestritten blieb sodann der jeweilige Verzugszins betreffend die vorgenannten Forderungspositionen in der Höhe von 5 % seit dem 1. Juni 2018.</w:t>
      </w:r>
    </w:p>
    <w:p>
      <w:r>
        <w:rPr>
          <w:b/>
        </w:rPr>
        <w:t>E. 2.1</w:t>
      </w:r>
    </w:p>
    <w:p>
      <w:r>
        <w:t>Die Beklagte bringt vor, der Kläger hätte während der Arbeitszeit, in der er nicht gearbeitet habe, seine Zeit produktiv nutzen und verrechenbare Arbeit täti- gen können bzw. müssen. Dadurch sei ihr Honorar in der Höhe von Fr. 91'084.– entgangen (act. 11 Rz. 12).</w:t>
      </w:r>
    </w:p>
    <w:p>
      <w:r>
        <w:rPr>
          <w:b/>
        </w:rPr>
        <w:t>E. 2.2</w:t>
      </w:r>
    </w:p>
    <w:p>
      <w:r>
        <w:t>Der Kläger bestreitet, unproduktiv gewesen zu sein und aufgrund seiner Ar- beitsführung Aufwände nicht in Rechnung gestellt zu haben (Prot. S. 18).</w:t>
      </w:r>
    </w:p>
    <w:p>
      <w:r>
        <w:t>- 13 -</w:t>
      </w:r>
    </w:p>
    <w:p>
      <w:r>
        <w:rPr>
          <w:b/>
        </w:rPr>
        <w:t>E. 2.3</w:t>
      </w:r>
    </w:p>
    <w:p>
      <w:r>
        <w:t>Will eine Arbeitgeberin eine Verrechnung des Lohns mit Gegenforderungen aus Treuepflichtverletzungen geltend machen, so hat sie die Verletzung der Treuepflicht durch den Arbeitnehmer, den entstandenen Schaden sowie den na- türlichen und adäquaten Kausalzusammenhang zwischen Vertragsverletzung und eingetretenem Schaden zunächst substantiiert darzulegen und sodann gestützt auf Art. 8 ZGB zu beweisen. Der Arbeitnehmer hat im Gegenzug den Entlas- tungsbeweis zu führen, dass ihn kein oder nur ein geringes Verschulden treffe (STREIFF/VON KAENEL/RUDOLPH, a.a.O., N 13 f. zu Art. 321e OR). Es ist vorliegend Sache der Beklagten, substantiiert darzulegen, inwiefern der Kläger seine arbeits- rechtliche Treuepflicht verletzt hat, und dafür die massgebenden Beweise einzu- reichen.</w:t>
      </w:r>
    </w:p>
    <w:p>
      <w:r>
        <w:rPr>
          <w:b/>
        </w:rPr>
        <w:t>E. 2.4</w:t>
      </w:r>
    </w:p>
    <w:p>
      <w:r>
        <w:t>Wie bereits ausgeführt, ist nicht erstellt, dass der Kläger 484.32 Stunden zu wenig gearbeitet hat. Im Übrigen scheitert die Verrechnung mit Forderungsan- sprüchen in der Höhe von Fr. 91'084.– auch an der mangelnden Substantiierung. Die Beklagte führte nicht aus, welche konkreten Arbeiten der Kläger in den "nicht erstellten" 484.32 Stunden hätte leisten können und welcher finanzielle Gewinn für die Beklagte daraus jeweils resultiert hätte. Wie sich die Summe des geltend gemachten Schadens im Einzelnen zusammensetzt, wurde nicht dargelegt. Damit fehlt es an einem substantiierten Klagefundament. Ein Beweisverfahren, inklusive Einholung eines Sachverständigengutachtens, ist unter diesen Umständen nicht durchführbar. Ein verrechenbarer Anspruch in der Höhe von Fr. 91'084.– steht der Beklagten somit nicht zu. 3. Kostenvorschüsse</w:t>
      </w:r>
    </w:p>
    <w:p>
      <w:r>
        <w:rPr>
          <w:b/>
        </w:rPr>
        <w:t>E. 3</w:t>
      </w:r>
    </w:p>
    <w:p>
      <w:r>
        <w:t>Neben den durch die Beklagte anerkannten Forderungen macht der Kläger mit der vorliegenden Klage einen weiteren Provisionsanspruch in der Höhe von Fr. 1'426.90 brutto (Fr. 3'926.90 - Fr. 2'500.–) sowie Überzeitentschädigung in der Höhe von Fr. 4'515.75 brutto geltend (act. 8 Rz. 3).</w:t>
      </w:r>
    </w:p>
    <w:p>
      <w:r>
        <w:rPr>
          <w:b/>
        </w:rPr>
        <w:t>E. 3.1</w:t>
      </w:r>
    </w:p>
    <w:p>
      <w:r>
        <w:t>Die Beklagte bringt zudem Fr. 16'777.33 infolge Pflichtverletzung des Klä- gers zur Verrechnung (act. 11 Rz. 16 f.). Die Beklagte habe ihre Mitarbeiter, da- runter auch den Kläger, angewiesen und regelmässig ermahnt, verrechenbare Dienstleistungen lediglich nach Eingang eines angemessenen Kostenvorschus- ses zu erbringen (act. 11 Rz. 6, Rz. 15). Der Kläger habe diese Weisung jedoch nicht befolgt. Er habe im Rahmen seiner Mandatsführung diverse Kostenvor- schüsse nicht eingeholt und trotz fehlendem Zahlungseingang Arbeitsleistungen erbracht (act. 11 Rz. 16). Unter anderem seien beim Mandat "[D.]…" Fr. 8'682.74</w:t>
      </w:r>
    </w:p>
    <w:p>
      <w:r>
        <w:t>- 14 - sowie beim Mandat "[E.]…" Fr. 2'594.59 ausstehend und bis heute für die Beklag- te uneinbringlich. Hinzu komme, dass ein weiterer Mandant sich weigere, Honorar von über Fr. 7'000.– zu bezahlen, weil er mit der Arbeitsleistung des Klägers nicht zufrieden gewesen sei. Der Kläger habe wesentliche juristische Punkte in der Fallbehandlung nicht erkannt, weshalb der Mandant lediglich bereit gewesen sei, Fr. 1'500.– zu bezahlen (act. 11 Rz. 16). Bei diesem Mandanten habe der Kläger jedoch die Berechtigung gehabt, ohne Kostenvorschuss tätig zu werden (Prot. S. 5).</w:t>
      </w:r>
    </w:p>
    <w:p>
      <w:r>
        <w:rPr>
          <w:b/>
        </w:rPr>
        <w:t>E. 3.2</w:t>
      </w:r>
    </w:p>
    <w:p>
      <w:r>
        <w:t>Der Kläger bestreitet, diese Weisung – sofern eine solche überhaupt be- standen habe – nicht eingehalten zu haben sowie, dass diese empfangsbedürfti- ge Weisung übermittelt worden sei. Es sei unzutreffend, dass der Kläger für die Einholung angemessener Kostenvorschüsse verantwortlich gewesen sei. Er habe auch keine Zeichnungsrechte für die Beklagte gehabt. Sämtliche Mandatsverein- barungen und Rechnungsstellungen seien in der Kompetenz der Beklagten gele- gen. Zutreffend sei, dass der Kläger grundsätzlich für seine Mandatsführung per- sönlich verantwortlich gewesen sei. Die Oberverantwortung der Mandate habe aber stets bei der Beklagten gelegen (Prot. S. 14).</w:t>
      </w:r>
    </w:p>
    <w:p>
      <w:r>
        <w:rPr>
          <w:b/>
        </w:rPr>
        <w:t>E. 3.3</w:t>
      </w:r>
    </w:p>
    <w:p>
      <w:r>
        <w:t>Die Ausführungen der Beklagten in Bezug auf die Kostenvorschüsse sind unsubstantiiert. Sie legt nicht dar, wann und in welcher Form dem Kläger die be- sagten Weisungen kommuniziert wurden, wann und wie lange der Kläger trotz pflichtwidrig unterlassener Einholung von Kostenvorschüssen tätig war und inwie- fern dies kausal zum geltend gemachten Schaden führte. Unklar ist auch, in wel- chem Zeitraum dies geschehen ist. Betreffend jenem Mandanten, der sich weige- re das Honorar zu bezahlen, führt die Beklagte sodann selber aus, der Kläger sei befugt gewesen, ohne Einforderung des Kostenvorschusses tätig zu werden. Die pauschale Erwähnung, Besitzschutz nicht geprüft und nicht angewendet, ist zu unsubstantiiert, um eine Schaden in der Höhe von Fr. 5'500.– zu begründen. Vor- liegend fehlt es auch hier an einem substantiierten Klagefundament. Ein Beweis- verfahren ist unter diesen Umständen nicht durchführbar. Ein verrechenbarer An- spruch in der Höhe von Fr.16'777.33 steht der Beklagten somit nicht zu.</w:t>
      </w:r>
    </w:p>
    <w:p>
      <w:r>
        <w:t>- 15 - 4. Abwerben von Klienten</w:t>
      </w:r>
    </w:p>
    <w:p>
      <w:r>
        <w:rPr>
          <w:b/>
        </w:rPr>
        <w:t>E. 4</w:t>
      </w:r>
    </w:p>
    <w:p>
      <w:r>
        <w:t>Die Beklagte erhebt demgegenüber diverse Verrechnungsforderungen von mehr als Fr. 100'000.– und macht geltend, die Forderungen des Klägers seien aufgrund der Verrechnung untergegangen (act. 11 Rz. 27).</w:t>
      </w:r>
    </w:p>
    <w:p>
      <w:r>
        <w:rPr>
          <w:b/>
        </w:rPr>
        <w:t>E. 4.1</w:t>
      </w:r>
    </w:p>
    <w:p>
      <w:r>
        <w:t>Die Beklagte macht sodann geltend, der Kläger habe bei Beendigung des Arbeitsverhältnisses die Klientin "B GmbH" entgegen der zwischen den Parteien getroffenen Vereinbarung abgeworben, indem er ihr einen tieferen Stundenansatz versprochen habe. So sei der Beklagten ein jährlicher Umsatz in der Höhe von mindestens Fr. 50'000.– entgangen. Diesen Betrag bringt sie zur Verrechnung (act. 11 Rz. 18 f.).</w:t>
      </w:r>
    </w:p>
    <w:p>
      <w:r>
        <w:rPr>
          <w:b/>
        </w:rPr>
        <w:t>E. 4.2</w:t>
      </w:r>
    </w:p>
    <w:p>
      <w:r>
        <w:t>Der Kläger bestreitet, die Beklagte geschädigt zu haben und vereinba- rungswidrig durch das Versprechen von tieferen Stundenansätzen bzw. unlaute- ren Mitteln Klienten abgeworben zu haben (Prot. S. 21).</w:t>
      </w:r>
    </w:p>
    <w:p>
      <w:r>
        <w:rPr>
          <w:b/>
        </w:rPr>
        <w:t>E. 4.3</w:t>
      </w:r>
    </w:p>
    <w:p>
      <w:r>
        <w:t>Die Beklagte legt den zu verrechnenden Schaden nicht im Einzelnen dar, sondern bringt pauschal vor, dass die entsprechende Klientin einen jährlichen Umsatz von mindestens Fr. 50'000.– generiert habe. Die Beklagte führt nicht aus, seit wann die "B GmbH" ihre Mandantin war, was für Leistungen sie für diese er- bracht hatte und inwiefern sie diese oder andere Leistungen im selben finanziel- len Rahmen auch zukünftig für diese hätte erbringen sollen. Im Übrigen wäre nicht der Umsatz, sondern der entgangene Gewinn als Schaden geltend zu ma- chen. Vorliegend fehlt es auch hier an einem substantiierten Klagefundament. Ein Beweisverfahren ist unter diesen Umständen nicht durchführbar. Ein verrechen- barer Anspruch in der Höhe von Fr. 50'000.– steht der Beklagten nicht zu.</w:t>
      </w:r>
    </w:p>
    <w:p>
      <w:r>
        <w:rPr>
          <w:b/>
        </w:rPr>
        <w:t>E. 5</w:t>
      </w:r>
    </w:p>
    <w:p>
      <w:r>
        <w:t>Weiterführung des E-Mail-Accounts</w:t>
      </w:r>
    </w:p>
    <w:p>
      <w:r>
        <w:rPr>
          <w:b/>
        </w:rPr>
        <w:t>E. 5.1</w:t>
      </w:r>
    </w:p>
    <w:p>
      <w:r>
        <w:t>Schliesslich bringt die Beklagte Fr. 200.– pro Monat seit Beendigung des Arbeitsverhältnisses für die Weiterführung des E-Mail-Accounts des Klägers zur Verrechnung (act. 11 Rz. 22, Prot. S. 32). Sie führt hierzu aus, der Kläger weigere sich entgegen seiner vertraglichen Verpflichtung, der Beklagten Zugang zu den Daten auf dem Server und den E-Mails bei der Beklagten zu gewähren. Dem Klä- ger sei es aufgrund des Arbeitsvertrages ohnehin untersagt gewesen, private Da- ten auf dem Geschäftsserver zu speichern oder private Korrespondenz über den geschäftlichen E-Mail-Account zu führen. Die Beklagte müsse aufgrund der Zu- griffsverweigerung des Klägers sowie aufgrund der 10-Jahres-Frist den Account</w:t>
      </w:r>
    </w:p>
    <w:p>
      <w:r>
        <w:t>- 16 - des Klägers weiterführen. Dies verursache monatliche Kosten in der Höhe von Fr. 200.– (act. 11 Rz. 22).</w:t>
      </w:r>
    </w:p>
    <w:p>
      <w:r>
        <w:rPr>
          <w:b/>
        </w:rPr>
        <w:t>E. 5.2</w:t>
      </w:r>
    </w:p>
    <w:p>
      <w:r>
        <w:t>Der Kläger bestreitet den monatlichen Schaden der Beklagten in der Höhe von Fr. 200.– (Prot. S. 35) und bringt vor, er habe den Zugriff auf den entspre- chenden E-Mail-Account verweigert, weil die Beklagte nicht dargelegt habe, aus welchem Grund sie den Zugriff verlange. Für ihn habe keine Veranlassung be- standen, der Beklagten die unkontrollierte Einsicht in seinen privaten E-Mail- Account zu gewähren, gerade im Rahmen eines Rechtsstreits (Prot. S. 22).</w:t>
      </w:r>
    </w:p>
    <w:p>
      <w:r>
        <w:rPr>
          <w:b/>
        </w:rPr>
        <w:t>E. 5.3</w:t>
      </w:r>
    </w:p>
    <w:p>
      <w:r>
        <w:t>Gemäss Arbeitsvertrag ist es dem Arbeitnehmer verboten, private Daten auf dem Arbeitsplatz-Computer oder auf der sonstigen IT-Infrastruktur der Arbeitge- berin zu speichern. Zudem hat der Arbeitnehmer der Arbeitgeberin jederzeit den vollumfänglichen Zugriff auf den Arbeitsplatz-Computer und die E-Mail-Accounts (mit der Adresse "@Beklagte.ch") zu gewähren bzw. die entsprechenden Pass- wörter umgehend auszuhändigen (act. 4/1 Ziffer V). Bei Beendigung des Arbeits- verhältnisses hat der Arbeitnehmer insbesondere sämtliche im Zusammenhang mit der Vertragserfüllung entstandenen Dokumente, Datenträger sowie Aufzeich- nungen weiterer Art unaufgefordert zurückzugeben (act. 4/1 Ziffer VI.1). Der Kläger hat sich somit grundsätzlich verpflichtet, der Beklagten den Zugang zu seinem E-Mail-Account zu gewähren. Dass der Kläger der Beklagten ebendiesen Zugriff jedoch verweigert bzw. ihr die entsprechenden Passwörter nicht aushän- digt, ist unbestritten und geht zudem auch aus dem Schreiben des Klägers vom 31. Dezember 2018 (act. 10/13) klar hervor. Weshalb der Kläger entgegen der ar- beitsvertraglichen Regelung von einem privaten E-Mail-Account ausgeht, hat er nicht erläutert. Eine Vertragsverletzung ist vorliegend zu bejahen. Die Beklagte machte im Rahmen ihrer Klageantwort keine Verrechnung betref- fend den monatlich Fr. 200.– geltend (act. 11 Rz. 22). Eine Verrechnungseinrede erhob sie erst im Rahmen ihrer Duplik (Prot. S. 32). Deshalb erfolgte die Bestrei- tung der monatlich Kosten in der Höhe von Fr. 200.– durch den Kläger in seiner Stellungnahme zu den Noven nicht verspätet (Prot. S. 35).</w:t>
      </w:r>
    </w:p>
    <w:p>
      <w:r>
        <w:t>- 17 - Der Beklagten beziffert ihren Schaden betreffend E-Mail-Account auf Fr. 200.– monatlich unter dem Hinweis, dass sie diesen aufgrund der 10-Jahres Frist wei- terführen müsse (act. 11 Rz. 22). Dieser Betrag wird vom Kläger bestritten. Die Beklagte legte zur Begründung des Schadens keine Belege ins Recht und offe- rierte auch keine anderen Beweismittel. Der Schaden ist damit nicht erstellt. Der Beklagten steht kein verrechenbarer Anspruch zu.</w:t>
      </w:r>
    </w:p>
    <w:p>
      <w:r>
        <w:rPr>
          <w:b/>
        </w:rPr>
        <w:t>E. 6</w:t>
      </w:r>
    </w:p>
    <w:p>
      <w:r>
        <w:t>Fazit Aufgrund der vorgängigen Ausführungen steht der Beklagten keine Verrech- nungsforderung zu. Sie schuldet dem Kläger somit den Lohn für den Monat Mai 2018, den Auslagenersatz sowie die Provisionen. Die Beklagte ist daher zu ver- pflichten dem Kläger Lohn in der Höhe Fr. 8'171.60 netto, zuzüglich Verzugszin- sen von 5% seit dem 1. Juni 2018, eine Spesenentschädigung in der Höhe von Fr. 92.10, zuzüglich Verzugszinsen von 5% seit dem 1. Juni 2018, sowie Provisi- onen in der Höhe von Fr. 3'682.45 netto, zuzüglich Verzugszinsen von 5% seit dem 1. Juni 2018, zu bezahlen. VI. Kosten- und Entschädigungsfolgen Nach Art. 114 lit. c ZPO sind bei Streitigkeiten aus einem Arbeitsverhältnis bis zu einem Streitwert von Fr. 30'000.– keine Gerichtskosten zu erheben. Im vorliegen- den Fall beläuft sich der Streitwert auf Fr. 20'164.–. Eine Gerichtsgebühr entfällt somit. Die in eigener Sache prozessierende Partei hat nach der Rechtsprechung nur in Ausnahmefällen Anspruch auf eine Parteientschädigung. Vorausgesetzt wird, dass es sich um eine komplexe Sache mit hohem Streitwert handelt und die Inte- ressenwahrung einen hohen Arbeitsaufwand notwendig machte, der den Rahmen dessen überschreitet, was der einzelne üblicher- und zumutbarerweise nebenbei zur Besorgung der persönlichen Angelegenheiten auf sich zu nehmen hat, und dass zwischen dem betriebenen Aufwand und dem Ergebnis der Interessenwah- rung ein vernünftiges Verhältnis besteht (vgl. BGE 125 II 518 E. 5b S. 519 f., 110 V 132 E. 4d S. 134 f.; BGer 2C_807/2008 vom 19. Juni 2009 E. 4.3).</w:t>
      </w:r>
    </w:p>
    <w:p>
      <w:r>
        <w:t>- 18 - Sowohl der Kläger als auch die Beklagte prozessieren als Anwälte in eigener Sa- che. Da die Voraussetzungen zum Anspruch auf eine Parteientschädigung ge- mäss bundesgerichtlicher Rechtsprechung vorliegend nicht erfüllt sind, entfällt ei- ne Parteientschädigung.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