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MJ240012 vom 2. April 2025</w:t>
      </w:r>
    </w:p>
    <w:p>
      <w:r>
        <w:t>Zh Bezirksgericht Winterthur, 2025-04-02, DE</w:t>
      </w:r>
    </w:p>
    <w:p>
      <w:r>
        <w:rPr>
          <w:b/>
        </w:rPr>
        <w:t xml:space="preserve">Quelle: </w:t>
      </w:r>
      <w:r>
        <w:t>https://mcp.opencaselaw.ch/entscheid/zh_bezirksgericht_winterthur_MJ240012</w:t>
      </w:r>
    </w:p>
    <w:p>
      <w:r>
        <w:t>FR: ZH_BEZIRKSGERICHT_WINTERTHUR MJ240012 du 2 avril 2025</w:t>
      </w:r>
    </w:p>
    <w:p>
      <w:r>
        <w:t>IT: ZH_BEZIRKSGERICHT_WINTERTHUR MJ240012 del 2 aprile 2025</w:t>
      </w:r>
    </w:p>
    <w:p>
      <w:pPr>
        <w:pStyle w:val="Heading2"/>
      </w:pPr>
      <w:r>
        <w:t>Erwägungen</w:t>
      </w:r>
    </w:p>
    <w:p>
      <w:r>
        <w:rPr>
          <w:b/>
        </w:rPr>
        <w:t>E. 1</w:t>
      </w:r>
    </w:p>
    <w:p>
      <w:r>
        <w:t>OG in der Liegenschaft D._____-strasse 1 in E._____ (act. 13/3). Der entspre- chende Mietvertrag wurde mit der Vermieterin, der Beklagten, am 24. Mai bzw.</w:t>
      </w:r>
    </w:p>
    <w:p>
      <w:r>
        <w:rPr>
          <w:b/>
        </w:rPr>
        <w:t>E. 1.1</w:t>
      </w:r>
    </w:p>
    <w:p>
      <w:r>
        <w:t>Beim Kläger handelt es sich um den Mieter einer 2 ½-Zimmer-Wohnung im</w:t>
      </w:r>
    </w:p>
    <w:p>
      <w:r>
        <w:rPr>
          <w:b/>
        </w:rPr>
        <w:t>E. 1.2</w:t>
      </w:r>
    </w:p>
    <w:p>
      <w:r>
        <w:t>Mit Schreiben vom 23. Januar 2024 ersuchte der Kläger bei der Beklagten um Zustimmung, seine Wohnung über Airbnb unterzuvermieten (act. 1 S. 3, act. 3/3). Die Liegenschaftsverwaltung der Beklagten verweigerte die Zustimmung mit Schreiben 25. Januar 2025 (act. 1 S. 4, act. 3/5, act. 10 Rz. 22).</w:t>
      </w:r>
    </w:p>
    <w:p>
      <w:r>
        <w:rPr>
          <w:b/>
        </w:rPr>
        <w:t>E. 2</w:t>
      </w:r>
    </w:p>
    <w:p>
      <w:r>
        <w:t>Für die Untervermietung über Buchungsplattformen gelten die Regeln von Art. 262 OR gleichermassen. Eine Besonderheit liegt darin, dass es sich bei die- ser Form der Untervermietung möglicherweise nur teilweise um die entgeltliche Überlassung von Wohn- und Schlafraum handelt. Je nach Ausgestaltung des Ver- tragsverhältnisses zwischen dem Anbieter der Unterkunft und seinem Gast kann es sich auch um einen atypischen Untermietvertrag oder einen Beherbergungs- respektive Gastaufnahmevertrag handeln, bei welchen der Anbieter zusätzliche</w:t>
      </w:r>
    </w:p>
    <w:p>
      <w:r>
        <w:t>- 7 - Leistungen verspricht (SPIRIG, a.a.O., S. 6 und 12). In der Praxis wurde die ana- loge Anwendung der Regeln über die Untermiete bislang stets bejaht, sowohl Lehre als auch Bundesgericht gehen davon aus, dass Art. 262 Abs. 2 OR auf jede entgeltliche Gebrauchsüberlassung anwendbar ist (vgl. SPIRIG, a.a.O., S. 4 und 6 m.w.H.; ZMP 2017 Nr. 2). Daraus folgt insbesondere, dass der Vermieter eine Vermietung über Buchungsplattformen frei verbieten kann, soweit der Mieter da- mit einen missbräuchlichen Ertrag erzielen möchte, soweit er die Bedingungen des konkreten Untermietverhältnisses nicht offenlegt oder soweit die Grenzen des zulässigen Gebrauchs überschritten werden, insbesondere bei einer nicht verein- barten gewerbsmässigen Nutzung des Objekts, bei übermässigen Immissionen oder bei Untervermietung der gesamten Mietsache auf unbestimmte Zeit ohne Absicht, die Sache je selber zu gebrauchen (ZMP 2024 Nr. 5). 3.1. Mit Vertrag vom 24. Mai / 2. Juni 2020 mietete der Kläger von der Beklagten eine 2 ½-Zimmer-Wohnung im 1. Obergeschoss der Liegenschaft D._____- strasse 1 in E._____, wobei das Mietobjekt von einer Person zu Wohnzwecken benutzt werden sollte (act. 13/3). Gleichzeitig mietete der Kläger in derselben Lie- genschaft einen Autoeinstellplatz (act. 13/5). Die Parteien vereinbarten sodann mit Bezug auf die Modalitäten der Einholung der Zustimmung des Vermieters zu einer allfälligen Untermiete, dass der Mieter die Mietobjekte nur mit schriftlicher Zustimmung des Vermieters ganz oder teilweise untervermieten dürfe (Ziff. 9 Abs. 1 der Allgemeinen Bedingungen zum Mietvertrag für Wohnräume [AVB], act. 13/6) und dass der Mieter dem Vermieter die beabsichtigten Vertragskonditio- nen sowie die Personalien des Untermieters mittels ID/Passkopie/Aufenthaltsbe- willigung vorgängig bekanntzugeben habe; nach dem Zustandekommen des Un- termietvertrages sei dem Vermieter ausserdem eine Vertragskopie zuzustellen (Ziff. 9 Abs. 3 AVB, act. 13/6). Dem rechtskundigen Kläger, welcher die Allgemei- nen Vertragsbedingungen unterschriftlich bestätigt hatte (act. 13/6 S. 6), war die Tragweite dieser Bestimmungen klar, weshalb er es – sinnvollerweise – auch un- terlässt, die von der Beklagten behaupteten vertraglichen Abmachungen zu be- streiten.</w:t>
      </w:r>
    </w:p>
    <w:p>
      <w:r>
        <w:t>- 8 - 3.2. Bei dieser Sachlage zielt das – suggestiv formulierte (vgl. unten, Ziff. IV./4.) – Hauptbegehren, mit welchem der Kläger eine generelle Zustimmung zur künfti- gen Untervermietung an nicht individualisierte Personen für die Dauer von 24 Mo- naten verlangt, auf eine Änderung der vertraglichen Vereinbarungen ab. Ansprü- che auf Änderung vertraglicher Abmachungen bedürfen indes einer spezifischen gesetzlichen Grundlage. Eine solche ist mit Bezug auf die Bedingungen für die Untermiete nicht ersichtlich, zumal Art. 262 OR dem Mieter kein Recht gibt, vom Vermieter eine generelle Zustimmung für eine unbestimmte Zahl künftiger Unter- vermietungen zu erhalten (ZK-HIGI/WILDISEN, Art. 262 OR N 66). Entsprechend ist das klägerische Hauptbegehren abzuweisen. 3.3. Auch mit dem Eventualbegehren wird eine Änderung der vertraglichen Ver- einbarungen der Modalitäten der Einholung der Zustimmung des Vermieters zur Untermiete verlangt: Vertraglich vereinbart ist, dass der Mieter dem Vermieter die beabsichtigten Vertragskonditionen sowie die Personalien des Untermieters mit- tels ID/Passkopie/Aufenthaltsbewilligung vorgängig bekanntzugeben hat. Die be- kanntzugebenden Informationen und Unterlagen bilden die Grundlage für den Entscheid des Vermieters, ob er der beabsichtigten Untermiete zustimmen muss oder ob er die Zustimmung verweigern darf. Entgegen der offenbar vom Kläger vertretenen Auffassung ist der Vermieter berechtigt, jedes beabsichtigte Unter- mietverhältnis im Einzelfall und in Kenntnis der Person des potentiellen Untermie- ters zu prüfen; für eine generelle Verpflichtung des Vermieters im Voraus, beab- sichtigten künftigen Untermietverhältnissen zuzustimmen, sobald ihm die Perso- nalien des Untermieters bekannt gegeben worden sind, besteht weder eine ge- setzliche noch eine vertragliche Grundlage. In diesem Zusammenhang ist darauf hinzuweisen, dass die Prüfung der Un- terlagen zum beabsichtigten Untermietverhältnis regelmässig einige Zeit in An- spruch nehmen darf, wobei zwei bis vier Wochen ausreichend sein dürften (HAP Wohn- und Geschäftsraummiete-SCHWANINGER, Rz. 10.98). Dass dies für kurzfris- tig über Online-Plattformen wie Airbnb gebuchte Aufenthalte wenig praktikabel ist, ist hinzunehmen. Das Institut der Untermiete ist nach der Konzeption des Gesetz- gebers an sich für Fälle gedacht, in denen der Mieter das Mietobjekt, beispiels-</w:t>
      </w:r>
    </w:p>
    <w:p>
      <w:r>
        <w:t>- 9 - weise wegen eines beruflich bedingten, zeitlich begrenzten Auslandaufenthalts, vorübergehend nicht nutzen kann und für die Zeit seiner Abwesenheit aus finanzi- ellen Gründen einem Dritten überlässt, oder für Fälle, in welchen eine Wohnung infolge Wegzuges oder Todes von Familienangehörigen zu gross geworden ist und teilweise Dritten überlassen wird (BGE 138 III 59 E. 2.2.1). Um diesen be- rechtigten Bedürfnissen von Mietern Rechnung zu tragen, beschränkt Art. 262 OR das Recht des Vermieters, seine Zustimmung zur Untermiete zu verweigern. Dies bedeutet freilich nicht, dass jede Abwesenheit, und sei sie noch so kurz, den Mie- ter berechtigen würde, das Mietobjekt unterzuvermieten. Jedenfalls wird mit Art. 262 OR nicht bezweckt, dem Mieter die regelmässige Ausschreibung des Mietobjektes auf Beherbergungsplattformen zu ermöglichen (SVIT Kommentar- ROHRER, 4. Aufl., Zürich/Basel/Genf 2018, Art. 262 OR N 43). 4.1. Subeventuell verlangt der Kläger die Feststellung, dass er "generell zur nicht gewerblichen Untervermietung seiner 2.5 Zimmerwohnung […] über Airbnb oder ähnliche Plattformen für die Dauer von 24 Monaten während 20% bis maximal 30% der in einem Monat möglichen Vermietungstage (mithin zwischen 6 und 9 Tage pro Monat) berechtigt" sei "und die Beklagte ihre Zustimmung zur nicht ge- werblichen generellen Untervermietung über Airbnb oder ähnliche Plattformen zu Unrecht verweigert" habe. Abgesehen davon, dass der Kläger weder einen ver- traglichen noch gesetzlichen Anspruch auf eine generelle Zustimmung zu künfti- gen Untermietverhältnissen an unbestimmte Personen hat (vgl. oben Ziff. IV./3.2.), übersieht der Kläger, dass die regelmässige Untervermietung wäh- rend 6 bis 9 Tagen pro Monat in zweierlei Hinsicht nicht mehr vom vertraglich ver- einbarten Wohnzweck gedeckt ist. Zum einen handelt es sich bei einer regelmäs- sigen Untervermietung über Buchungsplattformen, mit welcher ein wesentlicher Teil der Mietkosten gedeckt werden soll, um eine gewerbliche Untervermietung, da damit ein – regelmässig fliessendes – Einkommen erzielt werden soll, welches der Kostendeckung dient. Daran ändert nichts, wenn der Untervermieter – wie im vorliegend zu beurteilenden Fall – einer anderen Haupterwerbstätigkeit nachgeht. Zum anderen wird mit der regelmässigen Vermietung über Buchungsplattformen wegen der notorisch lauten Besucher in Ferienstimmung ein mässig störendes Gewerbe im Sinne des Bau- und Planungsrechts betrieben, jedenfalls wenn die</w:t>
      </w:r>
    </w:p>
    <w:p>
      <w:r>
        <w:t>- 10 - zur Diskussion stehende Wohnung während rund einem Drittel des Jahres in die- ser Art genutzt werden soll. Die Liegenschaft D._____-strasse 1 befindet sich un- bestrittenermassen in einer reinen Wohnzone, welche der Lärmempfindlichkeitss- tufe II zugewiesen ist (act. 13/2 S. 3 und 7). Art. 43 der Lärmschutzverordnung (LSV) des Bundes (SR 814.41) teilt das Baugebiet in verschiedene Empfindlich- keitsstufen ein. In der Stufe II ist nur nicht störendes Gewerbe erlaubt. Mässig stö- rende Gewerbe sind erst ab der Stufe III erlaubt (ZMP 2024 Nr. 5 E. IV./2.2). Eine entsprechende baurechtliche Bewilligung zur regelmässigen Vermietung der streitgegenständlichen Wohnung über Buchungsplattformen während rund einem Drittel des Jahres dürfte daher nicht erhältlich sein. 4.2. Selbst wenn die regelmässige Vermietung über Buchungsplattformen wäh- rend 6 bis 9 Tagen pro Monat als nichtgewerblich qualifiziert würde, könnte der Vermieter die Zustimmung zur regelmässigen Untervermietung über Buchungs- plattformen verweigern, da ihm wesentliche Nachteile entstehen. Es versteht sich von selbst, dass das Mietobjekt durch die regelmässige Untervermietung an Dritte und die hohe Gästefluktuation stärker abgenutzt wird. Zudem besteht ein erhebli- ches Risiko, dass kurzfristige Untermieter dem Mietobjekt und den Allgemeinflä- chen weniger Sorge tragen und mehr Lärm verursachen, als dauerhafte Mieter (SVIT Kommentar-ROHRER, 4. Aufl., Zürich/Basel/Genf 2018, Art. 262 OR N 44; ZK HIGI/WILDISEN, Art. 262 OR N 67). Entgegen der Auffassung des Klägers ver- mag das Feedback-System der Buchungsplattformen letzteres Risiko bei Unter- mietverhältnissen nicht zu kompensieren, da zwischen dem Untervermieter und den Mitbewohnern keine vertragliche Beziehung besteht. Dies zeigt auch die vor- liegende Streitigkeit in exemplarischer Weise. Der Kläger bestritt nicht, dass sich eine Nachbarsfamilie bei der Verwaltung beschwert hatte; weshalb dieser Kontakt zur Verwaltung den Beweiswert einer Zeugenaussage indes schmälern sollte (act. 22 Rz. 5), ist nicht ersichtlich. Lärmklagen anderer Mieter stellen gegenteils einen wesentlichen Nachteil für den Vermieter dar; in ruhigen Wohngegenden ist bei einer beherbergungsähnlichen Nutzung geradezu mit Lärmklagen der Mitbe- wohner und weiterer Anwohner zu rechnen.</w:t>
      </w:r>
    </w:p>
    <w:p>
      <w:r>
        <w:t>- 11 - Die vom Kläger beabsichtigte Untervermietung während 6 bis 9 Tagen pro Monat läuft ausserdem auf eine Aufnahme von Gästen an praktisch sämtlichen Wo- chenenden hinaus. Eine solche Nutzung ist nach überwiegender Lehrmeinung mit einem wesentlichen Nachteil für den Vermieter verbunden (ZK HIGI/WILDISEN, Art. 262 OR N 67, SPIRIG, a.a.O., N 52), weshalb die Zustimmung ohne weiteres verweigert werden darf.</w:t>
      </w:r>
    </w:p>
    <w:p>
      <w:r>
        <w:rPr>
          <w:b/>
        </w:rPr>
        <w:t>E. 2.1</w:t>
      </w:r>
    </w:p>
    <w:p>
      <w:r>
        <w:t>Nach erteilter Klagebewilligung vom 12. August 2024 (act. 3/2) gelangte der Kläger mit Eingabe vom 12. September 2024 fristgerecht an das angerufene Miet- gericht, wo er die Klage mit eingangs wiedergegebenen Rechtsbegehren erhob (act. 1 S. 2). Mit Verfügung vom 17. September 2024 wurde dem Kläger Frist zur Leistung eines Kostenvorschusses und der Beklagten Frist zur Stellungnahme an- gesetzt (act. 4). Der Kostenvorschuss wurde am 20. September 2024 fristgerecht geleistet (act. 7) und die Beklagte liess ihre Stellungnahme innert erstreckter Frist mit Eingabe vom 9. Dezember 2024 einreichen (act. 8 – 10).</w:t>
      </w:r>
    </w:p>
    <w:p>
      <w:r>
        <w:rPr>
          <w:b/>
        </w:rPr>
        <w:t>E. 2.2</w:t>
      </w:r>
    </w:p>
    <w:p>
      <w:r>
        <w:t>Mit Verfügung vom 5. März 2025 wurde der Kostenvorschuss erhöht (act. 18). Der Kläger kam der Erhöhung mit der Zahlung vom 11. März 2025 nach (act. 20).</w:t>
      </w:r>
    </w:p>
    <w:p>
      <w:r>
        <w:rPr>
          <w:b/>
        </w:rPr>
        <w:t>E. 2.3</w:t>
      </w:r>
    </w:p>
    <w:p>
      <w:r>
        <w:t>In der Folge wurden die Parteien auf den 19. März 2025 zur Hauptverhand- lung vorgeladen (act. 14). Zu dieser erschienen der Kläger und für die Beklagte Rechtsanwalt Dr. iur. Y._____ sowie Frau F._____ (Prokuristin) (Prot. S. 6). An-</w:t>
      </w:r>
    </w:p>
    <w:p>
      <w:r>
        <w:t>- 4 - lässlich der Verhandlung erstatteten die Parteien mündlich die Ergänzung der Kla- gebegründung- und antwort sowie Replik und Duplik (vgl. Prot. S. 6 ff.).</w:t>
      </w:r>
    </w:p>
    <w:p>
      <w:r>
        <w:rPr>
          <w:b/>
        </w:rPr>
        <w:t>E. 2.4</w:t>
      </w:r>
    </w:p>
    <w:p>
      <w:r>
        <w:t>Das Verfahren erweist sich nunmehr als spruchreif, sodass in Anwendung von Art. 236 Abs. 1 ZPO ein Entscheid zu ergehen hat. Bereits an dieser Stelle ist dabei zu vermerken, dass auf die Ausführungen der Parteien nur insoweit einzu- gehen sein wird, als diese für die Beurteilung der anhängig gemachten Rechtsbe- gehren relevant sind. II. Prozessuales 1. Zuständigkeit Für Klagen aus Miete ist nach Art. 33 ZPO das Gericht am Ort der gelege- nen Sache örtlich zuständig. Gemäss § 26 GOG ZH in Verbindung mit § 21 GOG ZH beurteilt das Einzelgericht am Mietgericht Streitigkeiten aus Mietverhält- nissen bis zu einem Streitwert von CHF 30'000.– im vereinfachten Verfahren. An- gesichts der Lage der Mietsache ist die örtliche Zuständigkeit des hiesigen Ge- richts zweifellos gegeben. Ebenso ist das angerufene Einzelgericht für die Beur- teilung der vorliegenden Klage sachlich zuständig.</w:t>
      </w:r>
    </w:p>
    <w:p>
      <w:r>
        <w:rPr>
          <w:b/>
        </w:rPr>
        <w:t>E. 5</w:t>
      </w:r>
    </w:p>
    <w:p>
      <w:r>
        <w:t>Die Höhe der Parteientschädigung bestimmt sich nach der Verordnung über die Anwaltsgebühren des Obergerichts (AnwGebV OG; Art. 96 ZPO in Verbin- dung mit § 199 Abs. 1 GOG) und richtet sich in erster Linie nach dem Streitwert bzw. nach dem tatsächlichen Streitinteresse (§ 2 Abs. 1 lit. a AnwGebV OG). Die Parteientschädigung ist in Anwendung von §§ 4 und 11 Abs. 1 AnwGebV auf CHF 4'100.– (exkl. Mehrwertsteuer) festzusetzen und ausgangsgemäss vom Klä- ger an die Beklagte zu leisten. Schliesslich ist der von der Beklagten beantragte Zuschlag für die Mehrwertsteuer abzuweisen (act. 10 S.2), da sie mehrwertsteu- erpflichtig ist, weshalb – mangels gegenteiliger Ausführungen – davon auszuge- hen ist, dass sie vorsteuerabzugsberechtigt ist (vgl. OGer ZH LA210001 vom</w:t>
      </w:r>
    </w:p>
    <w:p>
      <w:r>
        <w:rPr>
          <w:b/>
        </w:rPr>
        <w:t>E. 9</w:t>
      </w:r>
    </w:p>
    <w:p>
      <w:r>
        <w:t>Februar 2022, E. VI/2.2; HGer ZH HG210046 vom 8. Juni 2021, E. 3.2 m.w.H.).</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