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GC250022 vom 14. November 2025</w:t>
      </w:r>
    </w:p>
    <w:p>
      <w:r>
        <w:t>Zh Bezirksgericht Winterthur, 2025-11-14, DE</w:t>
      </w:r>
    </w:p>
    <w:p>
      <w:r>
        <w:rPr>
          <w:b/>
        </w:rPr>
        <w:t xml:space="preserve">Quelle: </w:t>
      </w:r>
      <w:r>
        <w:t>https://mcp.opencaselaw.ch/entscheid/zh_bezirksgericht_winterthur_GC250022</w:t>
      </w:r>
    </w:p>
    <w:p>
      <w:r>
        <w:t>FR: ZH_BEZIRKSGERICHT_WINTERTHUR GC250022 du 14 novembre 2025</w:t>
      </w:r>
    </w:p>
    <w:p>
      <w:r>
        <w:t>IT: ZH_BEZIRKSGERICHT_WINTERTHUR GC250022 del 14 novembre 2025</w:t>
      </w:r>
    </w:p>
    <w:p>
      <w:pPr>
        <w:pStyle w:val="Heading2"/>
      </w:pPr>
      <w:r>
        <w:t>Erwägungen</w:t>
      </w:r>
    </w:p>
    <w:p>
      <w:r>
        <w:rPr>
          <w:b/>
        </w:rPr>
        <w:t>E. 1</w:t>
      </w:r>
    </w:p>
    <w:p>
      <w:r>
        <w:t>Mit Strafbefehl des Statthalteramtes Bezirk Winterthur (fortan: Statthalter- amt) vom 6. Juni 2025 wurde der Beschuldigte wegen der Verletzung von Ver- kehrsregeln im Sinne von Art. 90 Abs. 1 SVG in Verbindung mit Art. 15 Abs. 2, Art. 34 Abs. 3 und Art. 44 Abs. 1 SVG mit einer Busse von Fr. 500.– bestraft</w:t>
      </w:r>
    </w:p>
    <w:p>
      <w:r>
        <w:t>- 3 - (act. 2/3). Gegen diesen Strafbefehl erhob der Beschuldigte mit Eingabe vom 13. Juni 2025 frist- und formgerecht Einsprache (act. 2/4).</w:t>
      </w:r>
    </w:p>
    <w:p>
      <w:r>
        <w:rPr>
          <w:b/>
        </w:rPr>
        <w:t>E. 2</w:t>
      </w:r>
    </w:p>
    <w:p>
      <w:r>
        <w:t>Nach weiteren Untersuchungshandlungen (act. 2/5-22) überwies das Statt- halteramt mit Eingabe vom 10. September 2025 (act. 1) dem hiesigen Gericht den Strafbefehl vom 6. Juni 2025 (act. 2/3) samt Akten (act. 2/1-22). Es beantragte, es seien der Strafbefehl und die nachträglichen Gebühren und Auslagen gemäss Ab- rechnungsblatt zu bestätigen (act. 1).</w:t>
      </w:r>
    </w:p>
    <w:p>
      <w:r>
        <w:rPr>
          <w:b/>
        </w:rPr>
        <w:t>E. 2.1</w:t>
      </w:r>
    </w:p>
    <w:p>
      <w:r>
        <w:t>Die Anklagebehörde wirft dem Beschuldigten drei pflichtwidrige Unvorsich- tigkeiten vor. So habe er sich vor dem Fahrstreifenwechsel nach rechts nicht ver- sichert, dass der rechte Fahrstreifen frei ist, zumal ein Schulterblick nach rechts in kürzester Zeit hätte absolviert werden können. Zudem hätte der Beschuldigte nicht derart stark nach rechts lenken müssen. Zu guter Letzt sei auch ein Abbrem- sen möglich und somit die Kollision mit der korrekt heranfahrenden Personenwa- genlenkerin vermeidbar gewesen (act. 1).</w:t>
      </w:r>
    </w:p>
    <w:p>
      <w:r>
        <w:rPr>
          <w:b/>
        </w:rPr>
        <w:t>E. 2.2</w:t>
      </w:r>
    </w:p>
    <w:p>
      <w:r>
        <w:t>Zum fehlenden Schulterblick nach rechts bestätigte der Beschuldigte durch- wegs, dass er sich nicht nach rechts versichert habe, dass der rechte Fahrstreifen frei ist bzw. führte er aus, den schwarzen Personenwagen nicht gesehen zu ha- ben. Er begründete dies damit, dass dazu keine Zeit gewesen sei (vgl. act. 2/2 S.</w:t>
      </w:r>
    </w:p>
    <w:p>
      <w:r>
        <w:rPr>
          <w:b/>
        </w:rPr>
        <w:t>E. 2.3</w:t>
      </w:r>
    </w:p>
    <w:p>
      <w:r>
        <w:t>Hinsichtlich der Möglichkeit einer weniger starken Lenkbewegung nach rechts gab der Beschuldigte in der staatsanwaltlichen Einvernahme an, vom Bei- fahrersitz sei die Lenkbewegung schwierig zu dosieren (act. 2/19 F/A 21). Zudem führte er anlässlich der Hauptverhandlung aus, es sei ihm in dieser Situation auf- grund der Umstände, die er habe wahrnehmen müssen, nicht möglich gewesen, die Lenkbewegung dosierter auszuführen (Prot. S. 10). Gleichzeitig bringt der Be- schuldigte auch vor, dass er mit einem Reflex auf die Bedrohung des Gesell- schaftswagens reagiert habe (Prot. S. 8). Aus der Betrachtung der Videoaufnah- men des Vorfalls wird klar, dass der Beschuldigte eine sehr schwungvolle Lenk- bewegung nach rechts vorgenommen hat. In Anbetracht der auf den Videoauf- nahmen ersichtlichen Umstände hätte eine dosiertere Lenkbewegung genügt, um eine Kollision mit dem Gesellschaftswagen zu vermeiden und im Anschluss auch eine solche mit dem Personenwagen. Dies, zumal sich das Fahrzeug auf dem rechten Fahrstreifen bereits zu Beginn des Lenkmanövers des Beschuldigten ganz am rechten Rand seiner Fahrbahn befand und zufolge des Fahrverhaltens des Fahrzeugs des Beschuldigten ebenfalls leicht nach Rechts lenkte. Zudem hatte der Gesellschaftswagen seinen Spurwechsel ohnehin abgebrochen (act. 2/2). Eine leichtere Lenkbewegung wäre dem Beschuldigten auch möglich und zumutbar gewesen, auch wenn gerichtsnotorisch ist, dass Handlungen, welche reflexartig ausgeführt werden, in der Regel abrupt und teilweise zu stark ausfal- len. Hieraus wird ersichtlich, dass für ein derart starkes nach rechts lenken des Beschuldigten keine Notwendigkeit bestand.</w:t>
      </w:r>
    </w:p>
    <w:p>
      <w:r>
        <w:rPr>
          <w:b/>
        </w:rPr>
        <w:t>E. 2.4</w:t>
      </w:r>
    </w:p>
    <w:p>
      <w:r>
        <w:t>Der Beschuldigte stellt sich in Bezug auf die Möglichkeit des Abbremsens auf den Standpunkt, dass ein solches nicht möglich gewesen sei, da es ansons- ten eine Kollision mit dem Fahrzeug hinter ihnen gegeben hätte (Prot. S. 9). In den Videoaufnahmen ist hingegen ersichtlich, dass der weisse Personenwagen zu Beginn nach dem gleichzeitigen Spurwechsel nach links tatsächlich nahe hin- ter dem Fahrschulauto war, sich jedoch der Abstand innert kurzer Zeit rasch und erheblich vergrösserte (act. 2/2). Im massgebenden Zeitpunkt war der Abstand</w:t>
      </w:r>
    </w:p>
    <w:p>
      <w:r>
        <w:t>- 7 - ausreichend und ein Bremsmanöver des Beschuldigten möglich. Dies gilt umso mehr, als der Beschuldigte darauf vertrauen durfte, dass das hinter ihm fahrende Fahrzeug beim Erkennen eines vom Fahrschulauto eingeleiteten Bremsmanövers ebenfalls unmittelbar eine Bremsmanöver eingeleitet hätte. Hätte der Beschul- digte unverzüglich beim begonnenen Spurwechsel des Gesellschaftswagens ab- gebremst, hätte in Anbetracht der Geschwindigkeit des Gesellschaftswagens eine Kollision verhindert werden können.</w:t>
      </w:r>
    </w:p>
    <w:p>
      <w:r>
        <w:rPr>
          <w:b/>
        </w:rPr>
        <w:t>E. 2.5</w:t>
      </w:r>
    </w:p>
    <w:p>
      <w:r>
        <w:t>Nach dem Gesagten hatte der Beschuldigte mehrere zumutbare und mögli- che Handlungsoptionen, um eine Kollision mit dem Gesellschaftswagen und eine Verletzung der Verkehrsregeln zu vermeiden.</w:t>
      </w:r>
    </w:p>
    <w:p>
      <w:r>
        <w:rPr>
          <w:b/>
        </w:rPr>
        <w:t>E. 3</w:t>
      </w:r>
    </w:p>
    <w:p>
      <w:r>
        <w:t>f., act. 2/19 F/A 19 ff., Prot. S. 8). Von einem Fahrlehrer ist zu erwarten, dass er einen guten Überblick über das Geschehen auf der Strasse hat, da er bei einem allfälligen Fehler seiner Fahrschüler korrigierend eingreifen müsste. Im vorliegen- den Fall war das Verkehrsaufkommen gemäss Aussagen des Beschuldigten hoch und die Sicht gut, weshalb ein Spurwechsel umso vorsichtiger vorgenommen wer- den musste (Prot. S. 8). Zudem führte er aus, dass er sich bewusst war, dass sich auf der rechten Fahrbahn leicht versetzt ein Fahrzeug befindet (act. 2/19 F/A 4 ff.; Prot. S. 7 f.). Insbesondere mit diesem Wissen ist vom Beschuldigten zu verlan- gen, dass er sich vor einem Spurwechsel vergewissert, dass der andere Fahr-</w:t>
      </w:r>
    </w:p>
    <w:p>
      <w:r>
        <w:t>- 6 - streifen frei ist. Dies wäre für den Beschuldigten auch möglich und zumutbar ge- wesen, zumal ein Schulterblick sehr schnell gemacht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