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AH240009 vom 7. Mai 2025</w:t>
      </w:r>
    </w:p>
    <w:p>
      <w:r>
        <w:t>Zh Bezirksgericht Horgen, 2025-05-07, DE</w:t>
      </w:r>
    </w:p>
    <w:p>
      <w:r>
        <w:rPr>
          <w:b/>
        </w:rPr>
        <w:t xml:space="preserve">Quelle: </w:t>
      </w:r>
      <w:r>
        <w:t>https://mcp.opencaselaw.ch/entscheid/zh_bezirksgericht_horgen_AH240009</w:t>
      </w:r>
    </w:p>
    <w:p>
      <w:r>
        <w:t>FR: ZH_BEZIRKSGERICHT_HORGEN AH240009 du 7 mai 2025</w:t>
      </w:r>
    </w:p>
    <w:p>
      <w:r>
        <w:t>IT: ZH_BEZIRKSGERICHT_HORGEN AH240009 del 7 maggio 2025</w:t>
      </w:r>
    </w:p>
    <w:p>
      <w:pPr>
        <w:pStyle w:val="Heading2"/>
      </w:pPr>
      <w:r>
        <w:t>Erwägungen</w:t>
      </w:r>
    </w:p>
    <w:p>
      <w:r>
        <w:rPr>
          <w:b/>
        </w:rPr>
        <w:t>E. 14</w:t>
      </w:r>
    </w:p>
    <w:p>
      <w:r>
        <w:t>August 2024, reichte der Kläger beim hiesigen Gericht eine unbegründete Klage (act. 2) samt Klagebewilligung des Friedensrichteramts Adliswil (act. 1) und weiteren Beilagen (act. 3 und act. 4/2–18) ein. Mit Vorladungen vom 18. Septem- ber 2024 wurden die Parteien zur Hauptverhandlung auf Dienstag, 5. November 2024, 09.00 Uhr, vorgeladen (act. 5/1–2). Wiederum mit Eingabe vom 28. Oktober 2024 (Datum Poststempel, act. 7), samt Beilagen (act. 8 und act. 9/1–6), zeigte Rechtsanwalt lic. iur. Y._____ an, dass die Beklagte ihn mit der Wahrung ihrer In- teressen beauftragt hat. Am 5. November 2024 fand die Hauptverhandlung statt, zu welcher der Kläger in Begleitung von Rechtsanwalt lic. iur. X._____ und die Beklagte in Begleitung von Rechtsanwalt lic. iur. Y._____ erschienen sind (Prot. S. 2). Anlässlich der Verhandlung erstattete der Kläger seine Klagebegrün- dung (act. 13 und Prot. S. 2 f.) und seine Replik (Prot. S. 5 ff.), die Beklagte wie- derum ihre Klageantwort (act. 15 und Prot. S. 3 ff.) sowie die Duplik (Prot. S. 9 f.). Mit (Beweis-)Verfügung vom 28. November 2024 (act. 16) wurden die Parteien über das Beweisthema, die diesbezügliche Beweislastverteilung sowie die Ab-</w:t>
      </w:r>
    </w:p>
    <w:p>
      <w:r>
        <w:t>- 3 - nahme der in diesem Zusammenhang offerierten Beweismittel – konkret das Per- sonalreglement für die Mitarbeiter und Mitarbeiterinnen der B._____ Gruppe Schweiz, das integrierender Bestandteil des Anstellungsvertrags vom 13. bzw. 15 Januar 2016 bildet – in Kenntnis gesetzt. Wiederum mit Eingabe vom 3. Dezem- ber 2024 (act. 18), samt Beilagen (act. 19/1–3), hat die Beklagte das obgenannte Beweismittel eingereicht. Mit Telefongesprächen vom 5. Dezember 2024 haben die Parteien auf mündliche Schlussvorträge im Sinne von Art. 232 Abs. 1 ZPO verzichtet und sich damit einverstanden erklärt, schriftlich zum Beweisergebnis sowie zur Sache Stellung zu nehmen (vgl. Art. 232 Abs. 2 ZPO; act. 20 und act. 21). Mit Verfügung vom 6. Dezember 2024 (act. 22) wurden die Parteien so- dann darüber in Kenntnis gesetzt, dass die Beweisabnahme nach Art. 231 ZPO abgeschlossen ist und sich das Verfahren als spruchreif erweist. Gleichzeitig wurde den Parteien Frist angesetzt, um ihre Schlussvorträge schriftlich einzurei- chen. Mit Eingabe vom 16. Dezember 2024 (act. 24) reichte die Beklagte ihren Schlussvortrag ein. Der Kläger wiederum tat dies mit Eingabe vom 18. Dezember 2024 (act. 25). Mit Kurzbriefen vom 20. Dezember 2024 (act. 26/1–2) wurden den Parteien die Schlussvorträge kreuzweise zugestellt. Das Verfahren erweist sich nunmehr als spruchreif. II. (Prozessuales) 1. Im Sinne einer prozessualen Vorbemerkung ist anzumerken, dass vorlie- gend von einem Streitwert in Höhe von Fr. 24'076.80 auszugehen ist (vgl. act. 2 S. 2 und act. 13 i.V.m. Art. 91 Abs. 1 ZPO). In diesem Zusammenhang ist darauf hinzuweisen, dass der Kläger den Streitwert in seiner Klage – im Vergleich zu demjenigen in der Klagebewilligung vom 11. Juni 2024 (vgl. act. 1) – um Fr. 12'038.40 erhöht hat (act. 2 S. 2). Wird nach Ausstellen der Klagebewilligung – mithin nach durchgeführtem Schlichtungsverfahren – das Rechtsbegehren oder der Klagegrund geändert, so ist dies als Klageänderung nach Art. 227 ZPO zu be- urteilen (ZPO Komm.-Leuenberger, [4. Aufl.], Art. 227 N 27). Gemäss Art. 227 Abs. 1 lit. a ZPO ist eine Klageänderung nur dann zulässig, wenn der geänderte oder neue Anspruch nach der gleichen Verfahrensart zu beurteilen ist wie der ur-</w:t>
      </w:r>
    </w:p>
    <w:p>
      <w:r>
        <w:t>- 4 - sprüngliche und mit dem bisherigen Anspruch in einem sachlichen Zusammen- hang steht. Da in der Klage im Vergleich zur Klagebewilligung ein zusätzlich fälli- ger Monatslohn eingeklagt wurde, sind die Voraussetzungen für eine zulässige Klageänderung erfüllt. Vorliegend handelt es sich um eine arbeitsrechtliche Strei- tigkeit mit einem Streitwert unter Fr. 30'000.00, weshalb das vereinfachte Verfah- ren zur Anwendung gelangt (Art. 243 Abs. 1 ZPO). 2. Gemäss Art. 247 Abs. 1 ZPO wirkt das Gericht im vereinfachten Verfahren durch entsprechende Fragen darauf hin, dass die Parteien ungenügende Anga- ben zum Sachverhalt ergänzen und die Beweismittel bezeichnen. Es gilt somit eine (gegenüber jener nach Art. 56 ZPO) verstärkte gerichtliche Fragepflicht. Demgegenüber hat das Gericht bei arbeitsrechtlichen Streitigkeiten mit einem Streitwert von bis zu Fr. 30'000.00 den Sachverhalt von Amtes wegen festzustel- len (Art. 247 Abs. 2 ZPO). Allerdings läuft es in der praktischen Handhabung grundsätzlich auf das gleiche hinaus, ob die Verhandlungsmaxime mit verstärkter richterlicher Fragepflicht gilt (Art. 247 Abs. 1 ZPO) oder der Sachverhalt von Am- tes wegen festgestellt wird (Art. 247 Abs. 2 ZPO). In der Literatur besteht denn auch weitgehend Einigkeit darüber, dass zwischen der gerichtlichen Mitwirkung nach Art. 247 Abs. 1 ZPO und der gerichtlichen Sachverhaltsfeststellung von Am- tes wegen nach Art. 247 Abs. 2 ZPO kein Unterschied besteht (BSK ZPO-Mazan, [4. Aufl.], Art. 247 N 10 m.w.H.). Im Ausgangspunkt gilt damit auch in diesen Ver- fahren die Verhandlungsmaxime im Sinne von Art. 55 Abs. 1 ZPO und es ist pri- mär Sache der Parteien, den Prozessstoff zu sammeln. So besteht etwa trotz ver- stärkter richterlicher Fragepflicht für das Gericht kein Anlass dazu, unbestrittene oder gar explizit zugestandene Tatsachenbehauptungen zu hinterfragen (ZK ZPO-Hauck, [4. Aufl.], Art. 247 N 15). Stehen sich zwei anwaltlich vertretene Par- teien gegenüber, so soll und darf sich das Gericht mit der Fragepflicht ohnehin zu- rückhalten wie im ordentlichen Verfahren (BSK ZPO-Mazan, [4. Aufl.], Art. 247 N</w:t>
      </w:r>
    </w:p>
    <w:p>
      <w:r>
        <w:rPr>
          <w:b/>
        </w:rPr>
        <w:t>E. 19</w:t>
      </w:r>
    </w:p>
    <w:p>
      <w:r>
        <w:t>m.w.H.). 3. Entsprechend dem Gesagten haben die Parteien dem Gericht die Tatsa- chen, auf die sie ihre Begehren stützen, darzulegen und die Beweismittel anzuge- ben (Art. 55 Abs. 1 ZPO), wobei die Tatsachen in einer ausreichend detaillierten</w:t>
      </w:r>
    </w:p>
    <w:p>
      <w:r>
        <w:t>- 5 - Art und Weise zu schildern bzw. zu behaupten sind, sodass sie vom Gericht nachvollzogen und von der Gegenpartei bestritten werden können (ZPO Komm.- Sutter-Somm/Schrank, [4. Aufl.], Art. 55 N 10 f., 20 ff.; OGer ZH LF140031vom</w:t>
      </w:r>
    </w:p>
    <w:p>
      <w:r>
        <w:rPr>
          <w:b/>
        </w:rPr>
        <w:t>E. 20</w:t>
      </w:r>
    </w:p>
    <w:p>
      <w:r>
        <w:t>September 2023 (act. 4/5) nicht zu entnehmen ist, ob Dr. med. G._____ ge- stützt auf eine eigene ärztliche Untersuchung oder aufgrund der Angaben des Pa- tienten zum Schluss gekommen ist, dass der Kläger am 20. September 2023 ar- beitsunfähig gewesen sei. Der Beweiswert der eingereichten Arztzeugnisse ist da- her zumindest beeinträchtigt. Dies ist allerdings nicht weiter relevant, da die Ar- beitsunfähigkeitszeugnisse für die Frage, ob der Kläger im Zeitpunkt des Zugangs der Kündigung arbeitsunfähig gewesen ist, ohnehin nicht beweisbildend sind. Im Übrigen ist darauf hinzuweisen, dass das Bundesgericht die im Rahmen eines Kündigungsgesprächs ausgehändigte Kündigung, deren Annahme der Arbeitneh- mer verweigerte, das Büro verliess und unverzüglich den Arzt aufsuchte, der ihn noch gleichentags krankgeschrieben hat, als gültig erachtet hat. 2.11 Aus dem Gesagten ergibt sich, dass dem Kläger der Beweis der Arbeitsun- fähigkeit im Zeitpunkt des Zugangs der Kündigung nicht gelungen ist, weshalb die Sperrwirkung von Art. 336c Abs. 1 lit. b OR nicht zur Anwendung gelangt. Die Kündigung durch die Beklagte vom 20. September 2023 ist daher gültig und die Klage des Klägers vollumfänglich abzuweisen.</w:t>
      </w:r>
    </w:p>
    <w:p>
      <w:r>
        <w:t>- 19 - VI. (Entschädigungsfolge und Rechtsmittel) 1. Zu den Prozesskosten gehören die Gerichtskosten und die Parteientschädi- gung (Art. 95 Abs. 1 ZPO). Beim vorliegenden Streitwert von Fr. 24'076.80 (vgl. act. 2 S. 2 und act. 13) sind gemäss Art. 114 lit. c ZPO keine Gerichtskosten zu erheben. Die Grundgebühr für die Parteientschädigung beläuft sich bei einem Streitwert von Fr. 24'076.80 in Anwendung von § 4 AnwGebV auf Fr. 4'700.00 (inkl. MwSt.). Der Anspruch auf die Grundgebühr entsteht mit der Erarbeitung der Begründung oder Beantwortung der Klage, wobei die Gebühr auch den Aufwand für die Teilnahme an der Hauptverhandlung deckt (§ 11 Abs. 1 AnwGebV). Die Prozesskosten werden der unterliegenden Partei auferlegt (Art. 106 Abs. 1 ZPO). Da der Kläger mit seinen Anträgen vollumfänglich unterliegt, ist der Beklagten an- tragsgemäss (vgl. act. 15 S. 1) eine Parteientschädigung in Höhe von Fr. 4'700.00 (inkl. MwSt.) zuzusprechen. 2. Gegen diesen Entscheid steht das Rechtsmittel der Berufung offen. Die Be- rufungsfrist beträgt 30 Tage (Art. 308 und Art. 311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