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37 vom 18. April 2025</w:t>
      </w:r>
    </w:p>
    <w:p>
      <w:r>
        <w:t>ZG Verwaltungsgericht, 2025-04-18, DE</w:t>
      </w:r>
    </w:p>
    <w:p>
      <w:r>
        <w:rPr>
          <w:b/>
        </w:rPr>
        <w:t xml:space="preserve">Quelle: </w:t>
      </w:r>
      <w:r>
        <w:t>https://mcp.opencaselaw.ch/entscheid/zg_verwaltungsgericht_V_2025_37</w:t>
      </w:r>
    </w:p>
    <w:p>
      <w:r>
        <w:t>FR: ZG_VERWALTUNGSGERICHT V 2025 37 du 18 avril 2025</w:t>
      </w:r>
    </w:p>
    <w:p>
      <w:r>
        <w:t>IT: ZG_VERWALTUNGSGERICHT V 2025 37 del 18 aprile 2025</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2025 37 A. A.________, geb. ____ 1998, ist mauritischer Staatsangehöriger und reiste im Rahmen eines Grenzübertritts in Genf am 16. April 2025 in die Schweiz ein. Gleichentags wurde er anlässlich einer Polizeikontrolle, versteckt unter einer Decke im Laderaum eines Lieferwagens, von der Zuger Polizei angetroffen. Da der Antragsgegner keine Ausweisdo- kumente auf sich trug, nicht im Besitz eines gültigen Aufenthaltstitels war und einer Er- werbstätigkeit nachging, wurde er verhaftet. B. Aufgrund der Sachverhaltsabklärungen wurde der Antragsgegner dann mit Straf- befehl der Staatsanwaltschaft des Kantons Zug vom 17. April 2025 wegen mehrfacher Wi- derhandlung gegen das Ausländer- und Integrationsgesetz (rechtswidrige Einreise und Ausüben einer nicht bewilligten Erwerbstätigkeit) zu einer unbedingten Geldstrafe von 60 Tagessätzen zu je Fr. 30.-- verurteilt. C. Das Amt für Migration des Kantons Zug versetzte den Antragsgegner am 17. April 2025 in Ausschaffungshaft, wobei dieser auf eine mündliche Verhandlung verzichtete und sich damit einverstanden erklärte, dass die Haftanordnung im Rahmen des schriftlichen Verfahrens überprüft wird. Unmittelbar nach Anordnung der Ausschaffungshaft verfügte das Amt für Migration des Kantos Zug mit Verfügung vom 17. April 2025 die Wegweisung des Antragsgegners aus der Schweiz. Gleichentags beantragte das Amt für Migration des Kantons Zug beim Verwaltungsgericht des Kantons Zug die Prüfung der angeordneten Ausschaffungshaft nach Art. 76 Abs. 1 Bst. b Ziff. 4 AIG sowie die Ausschaffungshaft für die Dauer von acht Tagen zu stützen. Der Haftrichter erwägt: 1. Die Haft wird von den Behörden des Kantons angeordnet, welcher für den Vollzug der Weg- oder Ausweisung zuständig ist (vgl. Art. 80 Abs. 1 des Bundesgesetzes über die Ausländerinnen und Ausländer und über die Integration [Ausländer- und Integrationsge- setz, AIG; SR 142.20]). Die Rechtmässigkeit und die Angemessenheit der Haft sind spätestens nach 96 Stunden durch eine richterliche Behörde aufgrund einer mündlichen Verhandlung zu überprüfen (vgl. Art. 80 Abs. 2 AIG). Die richterliche Behörde kann auf eine mündliche Verhandlung verzichten, wenn die Ausschaffung voraussichtlich innerhalb von acht Tagen nach der Haftanordnung erfolgen wird und die betroffene Person sich da-</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 Nach der Rechtsprechung des Bundesgerichts ist strafrechtlich relevantes Verhalten regelmässig ein Indiz für die Gefahr eines Untertauchens, da bei einem straffälligen Aus- länder eher als bei einem unbescholtenen davon auszugehen ist, er werde künftig behörd- liche Anordnungen missachten. Ebenso stellt die Mittellosigkeit ein Indiz dar, dass sich der Ausländer der Ausschaffung entziehen will (BGer 122 II 148 E. 2.a und b mit Hinweisen).</w:t>
      </w:r>
    </w:p>
    <w:p>
      <w:r>
        <w:rPr>
          <w:b/>
        </w:rPr>
        <w:t>E. 3.1</w:t>
      </w:r>
    </w:p>
    <w:p>
      <w:r>
        <w:t>Wie aus dem Strafbefehl der Staatsanwaltschaft des Kantons Zug vom 17. April 2025 hervorgeht, wurde der Antragsgegner in der Vergangenheit bereits wegen gleichar- tiger Widerhandlungen gegen das AIG verurteilt bzw. ist er bereits vorbestraft. Es ist da- her davon auszugehen, dass der Antragsgegner, falls er nicht in Ausschaffungshaft ge- nommen wird, erneut bei nächster Gelegenheit einer unbewilligten Erwerbstätigkeit nach- gehen wird. Umso mehr, da vorliegend bei einem Vermögen von lediglich Fr. 242.80 beim Antragsgegner klar von einer Mittellosigkeit auszugehen ist. Vor diesem Hinter- grund und unter Berücksichtigung der oben zitierten Rechtsprechung kann davon ausge- gangen werden, dass der Antragsgegner sich behördlichen Anordnungen auch in Zu- kunft widersetzen wird sowie dass eine Untertauchungsgefahr zu bejahen ist.</w:t>
      </w:r>
    </w:p>
    <w:p>
      <w:r>
        <w:rPr>
          <w:b/>
        </w:rPr>
        <w:t>E. 3.2</w:t>
      </w:r>
    </w:p>
    <w:p>
      <w:r>
        <w:t>In Würdigung der Akten ergibt sich somit, dass vorliegend der Haftgrund von Art. 76 Abs. 1 lit. b Ziff. 4 AIG erfüllt ist.</w:t>
      </w:r>
    </w:p>
    <w:p>
      <w:r>
        <w:rPr>
          <w:b/>
        </w:rPr>
        <w:t>E. 4</w:t>
      </w:r>
    </w:p>
    <w:p>
      <w:r>
        <w:t>Die Ausschaffungshaft stellt einen schweren Eingriff in die persönliche Freiheit des Betroffenen dar. Anordnung und Aufrechterhaltung sind daher nur zulässig, wenn sie dem Grundsatz der Verhältnismässigkeit und Angemessenheit zu genügen vermögen. Trotz entsprechender Verurteilungen in der Vergangenheit, reiste der Antragsgegner er- neut in die Schweiz ein, um hier (unbewilligt) eine Erwerbstätigkeit auszuüben. Die wieder- holten Einreisen des Antragsgegners in die Schweiz erfolgen anscheinend hauptsächlich in der Absicht, hier einer (unbewilligten) Erwerbstätigkeit nachzugehen. Das bisherige Ver- halten des Antragsgegners zeigt daher klar, dass er nicht bereit ist, sich an behördliche Anordnungen zu halten. Eine mildere Massnahme zur Sicherung der behördlichen Anord- nungen fällt somit ausser Betracht. Begründete Zweifel an der Hafterstehungsfähigkeit des Antragsgegners bestehen keine. Die notwendige medizinische Versorgung in der Strafan- stalt Zug ist bekanntermassen gewährleistet. Der Rückflug wurde für den 22. April 2025 gebucht und bestätigt. Ein gültiger Reisepass liegt ebenfalls vor. Unter Berücksichtigung der oben gemachten Ausführungen und des Interesses der Schweiz an einer geordneten und kontrollierten Ausreise erweist sich die Haft und die beantragte Dauer in jedem Fall als verhältnismässig. Die Ausschaffungshaft ist daher antragsgemäss für die Dauer von acht Tagen, d.h. bis am 25. April 2025 zu bestätigen.</w:t>
      </w:r>
    </w:p>
    <w:p>
      <w:r>
        <w:rPr>
          <w:b/>
        </w:rPr>
        <w:t>E. 5</w:t>
      </w:r>
    </w:p>
    <w:p>
      <w:r>
        <w:t>Haftrichterverfügung V 2025 37 der Haftüberprüfung beim Haftrichter ein Haftentlassungsgesuch einzureichen. Über die- ses Gesuch wäre wiederum aufgrund einer mündlichen Verhandlung zu entscheiden.</w:t>
      </w:r>
    </w:p>
    <w:p>
      <w:r>
        <w:rPr>
          <w:b/>
        </w:rPr>
        <w:t>E. 6</w:t>
      </w:r>
    </w:p>
    <w:p>
      <w:r>
        <w:t>Haftrichterverfügung V 2025 37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