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29 vom 28. Februar 2024</w:t>
      </w:r>
    </w:p>
    <w:p>
      <w:r>
        <w:t>ZG Verwaltungsgericht, 2024-02-28, DE</w:t>
      </w:r>
    </w:p>
    <w:p>
      <w:r>
        <w:rPr>
          <w:b/>
        </w:rPr>
        <w:t xml:space="preserve">Quelle: </w:t>
      </w:r>
      <w:r>
        <w:t>https://mcp.opencaselaw.ch/entscheid/zg_verwaltungsgericht_V_2024_29</w:t>
      </w:r>
    </w:p>
    <w:p>
      <w:r>
        <w:t>FR: ZG_VERWALTUNGSGERICHT V 2024 29 du 28 février 2024</w:t>
      </w:r>
    </w:p>
    <w:p>
      <w:r>
        <w:t>IT: ZG_VERWALTUNGSGERICHT V 2024 29 del 28 febbraio 2024</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2024 29 A. Der Antragsgegner, geboren 1987, reiste am 9. Mai 2016 in die Schweiz ein und reichte am 11. Mai 2016 beim Staatssekretariat (SEM) ein Asylgesuch ein. Mit Asylent- scheid des SEM vom 5. April 2019 wurde das Gesuch abgelehnt und der Antragsgegner verpflichtet, die Schweiz zu verlassen. Die dagegen erhobene Beschwerde wurde vom Bundesverwaltungsgericht mit Urteil vom 2. Juni 2022 abgewiesen, womit die verfügte Wegweisung am 3. Juni 2022 in Rechtskraft erwuchs. Der Antragsgegner wurde aufgefor- dert, die Schweiz bis zum 6. Juli 2022 zu verlassen. Das Gesuch vom 21. Juni 2022 an das Amt für Migration des Kantons Zug (AFM) um Erteilung einer Härtefallaufenthaltsbe- willigung wie auch ein Wiedererwägungsgesuch beim SEM mit anschliessender Be- schwerde beim Bundesverwaltungsgericht mit Vollzugsstoppgesuch blieben erfolglos. Am 30. August 2022 erschien der Antragsgegner beim AFM für ein Ausreisegespräch. Ab dem 31. August 2022 war der Antragsgegner für die Behörden nicht mehr erreich- und greifbar und ist untergetaucht, bis er am 25. Februar 2024, 23:32 Uhr, am Bahnhof Luzern von der Kantonspolizei Luzern angehalten und anschliessend kontrolliert mit Festnahmeeröffnung am 26. Februar 2024 um 00:39 Uhr sowie nach weiteren Abklärungen, insbesondere auf- grund der Ripol-Ausschreibung, dem Kanton Zug zugeführt wurde. Am 26. Februar 2024, 14:00 Uhr, übernahm das AFM das Haftregime und eröffnete dem Antragsgegner glei- chentags die Anordnung der Ausschaffungshaft gemäss Art. 76 AIG des Bundesgesetzes über die Ausländerinnen und Ausländer und über die Integration (Ausländer- und Integra- tionsgesetz, AIG; SR 142.20, vormals AuG). B. Am 26. Februar 2024 ersuchte das AFM das Verwaltungsgericht um Prüfung der Anordnung der Ausschaffungshaft nach Art. 76 AIG und beantragte, diese für die Dauer von drei Monaten zu stützen. C. Am 28. Februar 2024, 15:15 Uhr, fand in Anwesenheit des Antragsgegners und der Vertretung des AFM die gesetzlich vorgeschriebene mündliche Verhandlung unter Beizug eines Dolmetschers — dies gemäss ausdrücklichem Wunsch des Antragsgegners — statt. Das Protokoll und die Tonaufnahme der Verhandlung einschliesslich der mündli- chen Eröffnung des Entscheides stehen den Parteien bis zum Eintritt der Rechtskraft des vorliegenden Entscheides zur Verfügung.</w:t>
      </w:r>
    </w:p>
    <w:p>
      <w:r>
        <w:rPr>
          <w:b/>
        </w:rPr>
        <w:t>E. 3</w:t>
      </w:r>
    </w:p>
    <w:p>
      <w:r>
        <w:t>Haftrichterverfügung V 2024 29 Der Haftrichter erwägt: 1. Gemäss Art. 80 Abs. 2 AIG sind die Rechtmässigkeit und die Angemessenheit der Haft spätestens nach 96 Stunden durch eine richterliche Behörde aufgrund einer mündli- chen Verhandlung zu überprüfen, wobei die Frist nicht erst ab Haftanordnung läuft, son- dern sich nach dem Zeitpunkt bemisst, in dem der Betroffene aus ausländerrechtlichen Gründen tatsächlich festgehalten wurde (Andreas Zünd, in: Kommentar Migrationsrecht,</w:t>
      </w:r>
    </w:p>
    <w:p>
      <w:r>
        <w:rPr>
          <w:b/>
        </w:rPr>
        <w:t>E. 3.1</w:t>
      </w:r>
    </w:p>
    <w:p>
      <w:r>
        <w:t>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3.2</w:t>
      </w:r>
    </w:p>
    <w:p>
      <w:r>
        <w:t>Das SEM hat das Asylgesuch des Antragsgegners mit Entscheid vom 5. April 2019 abgelehnt und ihn gleichzeitig aus der Schweiz weggewiesen. Die dagegen erho- bene Beschwerde wurde vom Bundesverwaltungsgericht mit Urteil vom 2. Juni 2022 ab- gewiesen, womit die verfügte Wegweisung am 3. Juni 2022 in Rechtskraft erwuchs. Der Antragsgegner wurde aufgefordert, die Schweiz bis zum 6. Juli 2022 zu verlassen. Eben- so erfolglos blieben ein Gesuch um Erteilung einer sog. Härtefallbewilligung beim AFM und ein Wiedererwägungsgesuch beim SEM mit anschliessender Beschwerde beim Bundesverwaltungsgericht mit Vollzugsstoppgesuch. Insbesondere wurde in diesen Ver- fahren eine individuelle Gefährdung bei einer Rückkehr nach Sri Lanka eingehend ge- prüft und verneint. Nach dem Ausreisegespräch beim AFM am 30. August 2022 war der Antragsgegner ab dem 31. August 2024 für die Behörden nicht mehr erreich- und greif- bar und ist untergetaucht.</w:t>
      </w:r>
    </w:p>
    <w:p>
      <w:r>
        <w:rPr>
          <w:b/>
        </w:rPr>
        <w:t>E. 4</w:t>
      </w:r>
    </w:p>
    <w:p>
      <w:r>
        <w:t>Haftrichterverfügung V 2024 29 3.</w:t>
      </w:r>
    </w:p>
    <w:p>
      <w:r>
        <w:rPr>
          <w:b/>
        </w:rPr>
        <w:t>E. 4.1</w:t>
      </w:r>
    </w:p>
    <w:p>
      <w:r>
        <w:t>An der Haftrichterverhandlung vom 28. Februar 2024 bestätigte der Antragsgeg- ner die in den Akten befindlichen Angaben seiner Personalien und ergänzte, dass er eine Ausbildung mit Zertifikat als Elektriker habe und in Sri Lanka auch eine längere Zeit auf diesem Beruf gearbeitet habe. Auf Frage führte er aus, dass er sich ab dem 31. August 2024 grossmehrheitlich in Frankreich aufgehalten habe; dort sei er jedoch auch nicht re- gistriert; er habe hier erneut ein Gesuch stellen wollen, sei dann aber verhaftet worden. Er habe bei einem Kollegen wohnen können, welcher Essen und alles andere finanziert habe; gearbeitet habe er nicht. Weiter bestätigte der Antragsgegner auf Frage, dass er weder Probleme mit den sri-lankischen Behörden noch Dritten hätte, er habe sich weder politisch engagiert noch etwas mit der Liberation Tigers of Tamil Eelam (LTTE) zu tun. Er habe kein Problem damit, nach Sri Lanka zurückzukehren und werde auch mit den Behörden kooperieren. Gesundheitlich gehe es ihm gut und auch betreffend Haftbedin- gungen sei alles im grünen Bereich.</w:t>
      </w:r>
    </w:p>
    <w:p>
      <w:r>
        <w:rPr>
          <w:b/>
        </w:rPr>
        <w:t>E. 4.2</w:t>
      </w:r>
    </w:p>
    <w:p>
      <w:r>
        <w:t>Der Vertreter der AFM begründetet die Inhaftnahme mit dem illegalen Aufenthalt des Antragsgegners in der Schweiz; Asylgesuch und Beschwerden seien mehrfach ab-</w:t>
      </w:r>
    </w:p>
    <w:p>
      <w:r>
        <w:rPr>
          <w:b/>
        </w:rPr>
        <w:t>E. 5</w:t>
      </w:r>
    </w:p>
    <w:p>
      <w:r>
        <w:t>In Würdigung der Akten und Aussagen der Parteien ergibt sich, dass vorliegend die Voraussetzungen von Art. 76 Abs. 1 lit. b Ziffer 4 erfüllt sind. Der Antragsgegner wur- de mit Verfügung vom 5. April 2019, welche nach Durchlaufen des Rechtsmittelweges rechtskräftig wurde, aus der Schweiz weggewiesen. Unmittelbar nach Führen des Aus- reisegespräches mit dem AFM tauchte er ab dem 31. August 2022 unter und hielt sich nach eigenen Angaben grossmehrheitlich – ebenfalls illegal – in Frankreich auf. Über die genauen Aufenthaltsorte und darüber, wie er sich in dieser finanziell durchgeschlagen hat, bestehen keinerlei verlässlichen Angaben. Sein aktenkundiges Verhalten lässt ohne weiteres darauf schliessen, dass er auch künftig behördlichen Anordnungen nicht die ge- forderte Folge leisten wird.</w:t>
      </w:r>
    </w:p>
    <w:p>
      <w:r>
        <w:rPr>
          <w:b/>
        </w:rPr>
        <w:t>E. 6</w:t>
      </w:r>
    </w:p>
    <w:p>
      <w:r>
        <w:t>Haftrichterverfügung V 2024 29 Beschleunigungsgebotes die notwendigen Massnahmen und Abklärungen betreffend Rückführung bereits in die Wege geleitet. Mildere Mittel anstelle der Haft zur Sicherstel- lung der Wegweisung sind keine ersichtlich, zumal der Antragsgegner in der Schweiz über keine Wohnung verfügt und auch nicht über die Mittel zur Bestreitung seines Lebensun- terhaltes. Ebenso wenig bietet der hier offenbar bestehende Freundeskreis Gewähr für die Sicherstellung des Vollzuges. In Berücksichtigung aller Aspekte und des gewichtigen In- teresses der Schweiz – wie auch der anderen Staaten – an einer geordneten und kontrol- lierten Ausreise erweist sich die Haft und deren beantragte Dauer von drei Monaten ver- hältnismässig. Da alle gesetzlichen Voraussetzungen erfüllt sind, wird die Ausschaffungs- haft antragsgemäss für die Dauer von drei Monaten (und einem Tag) bis 25. Mai 2024 bestätigt.</w:t>
      </w:r>
    </w:p>
    <w:p>
      <w:r>
        <w:rPr>
          <w:b/>
        </w:rPr>
        <w:t>E. 7</w:t>
      </w:r>
    </w:p>
    <w:p>
      <w:r>
        <w:t>Der Antragsgegner wird in Nachachtung von § 10 Abs. 2 EG AuG abschliessend darauf hingewiesen, dass er gemäss Art. 80 Abs. 5 AIG das Recht hat, einen Monat nach der Haftüberprüfung beim Haftrichter ein Haftentlassungsgesuch einzureichen. Über die- ses Gesuch wäre wiederum aufgrund einer mündlichen Verhandlung zu entscheiden.</w:t>
      </w:r>
    </w:p>
    <w:p>
      <w:r>
        <w:rPr>
          <w:b/>
        </w:rPr>
        <w:t>E. 8</w:t>
      </w:r>
    </w:p>
    <w:p>
      <w:r>
        <w:t>Im Bereich der Zwangsmassnahmen werden gemäss § 14 Abs. 3 EG AuG in der Regel keine Verfahrenskosten erhoben. Vorliegend von diesem Grundsatz abzuweichen, besteht kein Anlass.</w:t>
      </w:r>
    </w:p>
    <w:p>
      <w:r>
        <w:t>7 Haftrichterverfügung V 2024 29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