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ZG_VERWALTUNGSGERICHT V 2023 72 vom 7. August 2024</w:t>
      </w:r>
    </w:p>
    <w:p>
      <w:r>
        <w:t>ZG Verwaltungsgericht, 2024-08-07, DE</w:t>
      </w:r>
    </w:p>
    <w:p>
      <w:r>
        <w:rPr>
          <w:b/>
        </w:rPr>
        <w:t xml:space="preserve">Quelle: </w:t>
      </w:r>
      <w:r>
        <w:t>https://mcp.opencaselaw.ch/entscheid/zg_verwaltungsgericht_V_2023_72</w:t>
      </w:r>
    </w:p>
    <w:p>
      <w:r>
        <w:t>FR: ZG_VERWALTUNGSGERICHT V 2023 72 du 7 août 2024</w:t>
      </w:r>
    </w:p>
    <w:p>
      <w:r>
        <w:t>IT: ZG_VERWALTUNGSGERICHT V 2023 72 del 7 agosto 2024</w:t>
      </w:r>
    </w:p>
    <w:p>
      <w:pPr>
        <w:pStyle w:val="Heading2"/>
      </w:pPr>
      <w:r>
        <w:t>Regeste</w:t>
      </w:r>
    </w:p>
    <w:p>
      <w:r>
        <w:t>Verwaltungsrechtl. Kammer — Baubewilligung (SZ-2021-156/15315)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Bei diesem Ausgang des Verfahrens hat der Beschwerdeführer gemäss § 23 Abs. 1 Ziff. 3 VRG die Kosten des vorliegenden Verfahrens zu tragen. Diese werden auf Fr. 3'500.– festgelegt und mit dem geleisteten Kostenvorschuss verrechnet. Da der Be- schwerdeführer unterliegt und der Stadtrat von Zug und der Regierungsrat in ihrem amtli- chen Wirkungskreis obsiegen, sind keine Parteientschädigungen zuzusprechen (§ 28 Abs. 2 und 2a VRG).</w:t>
      </w:r>
    </w:p>
    <w:p>
      <w:r>
        <w:t>15 Urteil V 2023 72</w:t>
      </w:r>
    </w:p>
    <w:p>
      <w:r>
        <w:t>16 Urteil V 2023 72 Demnach erkennt das Verwaltungsgericht: __________________________________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