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2022 102 vom 1. Mai 2023</w:t>
      </w:r>
    </w:p>
    <w:p>
      <w:r>
        <w:t>ZG Verwaltungsgericht, 2023-05-01, DE</w:t>
      </w:r>
    </w:p>
    <w:p>
      <w:r>
        <w:rPr>
          <w:b/>
        </w:rPr>
        <w:t xml:space="preserve">Quelle: </w:t>
      </w:r>
      <w:r>
        <w:t>https://mcp.opencaselaw.ch/entscheid/zg_verwaltungsgericht_V_2022_102</w:t>
      </w:r>
    </w:p>
    <w:p>
      <w:r>
        <w:t>FR: ZG_VERWALTUNGSGERICHT V 2022 102 du 1 mai 2023</w:t>
      </w:r>
    </w:p>
    <w:p>
      <w:r>
        <w:t>IT: ZG_VERWALTUNGSGERICHT V 2022 102 del 1 maggio 2023</w:t>
      </w:r>
    </w:p>
    <w:p>
      <w:pPr>
        <w:pStyle w:val="Heading2"/>
      </w:pPr>
      <w:r>
        <w:t>Regeste</w:t>
      </w:r>
    </w:p>
    <w:p>
      <w:r>
        <w:t>Verwaltungsrechtl. Kammer — Rückbauanordnung (Nichteintretensentscheid)</w:t>
      </w:r>
    </w:p>
    <w:p>
      <w:pPr>
        <w:pStyle w:val="Heading2"/>
      </w:pPr>
      <w:r>
        <w:t>Erwägungen</w:t>
      </w:r>
    </w:p>
    <w:p>
      <w:r>
        <w:rPr>
          <w:b/>
        </w:rPr>
        <w:t>E. 2</w:t>
      </w:r>
    </w:p>
    <w:p>
      <w:r>
        <w:t>Verstreicht die Frist zur Einreichung eines Baugesuches erneut ungenutzt, sind die Bauten und An- lagen (Pergola und zwei mit Keramikplatten ausgekleidete Tröge gemäss Fotos vom 17.03.2022) bis spätestens am 31.01.2023 zurück zu bauen.</w:t>
      </w:r>
    </w:p>
    <w:p>
      <w:r>
        <w:rPr>
          <w:b/>
        </w:rPr>
        <w:t>E. 2.1</w:t>
      </w:r>
    </w:p>
    <w:p>
      <w:r>
        <w:t>Gemäss § 44 Abs. 1 VRG muss eine Beschwerdeschrift im Verwaltungsbeschwer- deverfahren einen Antrag und eine Begründung enthalten. Paragraph 44 Abs. 3 VRG be- stimmt, dass in den Fällen, in denen Beschwerdeschriften diesen Anforderungen nicht genügen, eine kurze Frist zur Behebung des Mangels angesetzt wird, unter der Andro- hung, dass sonst nicht auf die Beschwerde eingetreten werde.</w:t>
      </w:r>
    </w:p>
    <w:p>
      <w:r>
        <w:rPr>
          <w:b/>
        </w:rPr>
        <w:t>E. 2.2</w:t>
      </w:r>
    </w:p>
    <w:p>
      <w:r>
        <w:t>Aus dem Antrag gemäss § 44 Abs. 1 VRG muss grundsätzlich hervorgehen, wel- che Rechtsfolge der Beschwerdeführer wünscht, d.h. ob der angefochtene Entscheid auf- gehoben oder abgeändert werden soll. Trifft Letzteres zu, ist anzugeben, welche Ände- rungen verlangt werden (Kiener/Rütsche/Kuhn, Öffentliches Verfahrensrecht, 3. Aufl. 2021, S. 284). Sinn und Zweck einer Antragspflicht ist die Festlegung und Eingrenzung des Streitgegenstandes im laufenden Verfahren. Der Streitgegenstand begrenzt einerseits die Untersuchungsmaxime sowie auch die Rechtsanwendung von Amtes wegen (Isabelle Häner, Die Anforderungen an eine Beschwerde, in: Brennpunkte im Verwaltungsprozess, 2013, S. 30). Als Minimalanforderung im Verwaltungsbeschwerdeverfahren gilt, dass sich die gestellten Anträge zumindest aus der Begründung ergeben müssen. Es muss aus der Beschwerdeschrift ersichtlich sein, dass eine Person gewillt ist, als Beschwerdeführer auf- zutreten und die mittels einer Verfügung geschaffene Rechtslage abzuändern (Häner, a.a.O., S. 29; vgl. BGE 112 Ib 634 E. 2b). Die Praxis ist nicht streng (vgl. dazu z.B. VGer ZG V 2021 55 vom 30. August 2021 E. 1; VGer ZH VB.2012.00055 vom 20. Juli 2012 E. 2.2; VGer ZH VB.2011.00052 vom 10. Mai 2012 E. 3.2). Dem Antragserfordernis ist bereits Genüge getan, wenn sich aus dem Zusammenhang und unter Zuhilfenahme der Begründung sinngemäss ergibt, was anbegehrt wird (Michel Daum, in: Kommentar zum Gesetz über die Verwaltungsrechtspflege im Kanton Bern, 2. Aufl. 2020, Art. 32 N 18; BGE 123 IV 125 E. 1). Immerhin muss die Begründung erkennen lassen, in welchen Punk- ten und weshalb der angefochtene Entscheid beanstandet wird (BGE 113 Ib 287 E. 1). Bei nicht rechtskundig vertretenen Parteien sind die Anforderungen an den Antrag gering an- zusetzen. Es genügt eine Formulierung, aus der sich mit gutem Willen herauslesen lässt, wie das Gericht bzw. die Verwaltung entscheiden soll (vgl. dazu BVGer A 1053/2014 vom 1. Dezember 2014 E. 1.3.2). Anträge sind unter Berücksichtigung von Treu und Glauben auszulegen. Sie müssen somit so ausgelegt werden, wie sie der Empfänger nach den ge- samten Umständen in guten Treuen verstehen durfte und musste, und es verfällt in über- spitzten Formalismus, wer sie buchstabengetreu auslegt, ohne nach dem Sinn zu fragen, der ihnen vernünftigerweise beizumessen ist (BGE 123 IV 125 E. 1; Martin Bertschi, in: Kommentar VRG ZH, 3. Aufl. 2014, Vorbemerkungen zu §§ 19–28a N 40).</w:t>
      </w:r>
    </w:p>
    <w:p>
      <w:r>
        <w:rPr>
          <w:b/>
        </w:rPr>
        <w:t>E. 3</w:t>
      </w:r>
    </w:p>
    <w:p>
      <w:r>
        <w:t>Erfolgt auch der Rückbau nicht innert Frist, sieht sich der Gemeinderat gezwungen, die Vollstre- ckung des Rückbaus im Sinne von § 69 Abs. 2 PBG Dritten in Auftrag zu geben.</w:t>
      </w:r>
    </w:p>
    <w:p>
      <w:r>
        <w:rPr>
          <w:b/>
        </w:rPr>
        <w:t>E. 3.1</w:t>
      </w:r>
    </w:p>
    <w:p>
      <w:r>
        <w:t>In seiner ersten Eingabe, der Beschwerde vom 4. November 2022, richtet sich der Beschwerdeführer klar gegen die Verfügung der Gemeinde Oberägeri vom 24. Oktober 2022 (im Folgenden: Verfügung). Er macht darin unter anderem geltend, die Entscheidung der Gemeinde Oberägeri sei "unangemessen" und "Die Entscheidung, das abzureissen, was seit mehr als 30 Jahren besteht", sei "falsch und nicht anwendbar". Am Ende der Be- schwerde bittet der Beschwerdeführer jedoch darum, mit der Baudirektion des Kantons Zug und mit der Gemeinde Oberägeri einen Termin zu vereinbaren, um Missverständnis- sen vorzubeugen. Dass die Baudirektion daraufhin mit Schreiben vom 11. November 2022 eine Nachfrist ansetzte, um einen Antrag nachreichen zu lassen, ist nicht zu beanstanden. Anschliessend reichte der Beschwerdeführer erneut innert Frist ein Schreiben ein, worin er unter anderem geltend macht, die "Anordnung zum Abriss" sei "umstritten", da die in der Verfügung genannten Elemente bereits vor 30 Jahren gebaut worden seien.</w:t>
      </w:r>
    </w:p>
    <w:p>
      <w:r>
        <w:rPr>
          <w:b/>
        </w:rPr>
        <w:t>E. 3.2</w:t>
      </w:r>
    </w:p>
    <w:p>
      <w:r>
        <w:t>Der Beschwerdeführer verfügt über keine juristische Ausbildung und wird nicht durch einen Rechtsvertreter vertreten. Er ist daher, entgegen den Ausführungen der Bau- direktion (vgl. Beschluss der Baudirektion vom 20. Dezember 2022, E. 2), als Laie zu qua- lifizieren. Auch der Umstand, dass der Beschwerdeführer nicht zum ersten Mal ein Be- schwerdeverfahren als Privatperson anstrengt, vermag die Anforderungen an die Be- schwerdeschrift nicht merklich zu erhöhen. Hinzu kommt, dass der Beschwerdeführer Französisch und nicht Deutsch als Muttersprache hat und somit auch in sprachlicher Hin- sicht keine hohen Anforderungen gestellt werden können.</w:t>
      </w:r>
    </w:p>
    <w:p>
      <w:r>
        <w:rPr>
          <w:b/>
        </w:rPr>
        <w:t>E. 3.3</w:t>
      </w:r>
    </w:p>
    <w:p>
      <w:r>
        <w:t>Ein formeller Antrag ausserhalb der Begründung ist weder der Beschwerde noch der verbesserten Eingabe zu entnehmen. Zwar wurde der Beschwerdeführer mit einer Nachfrist darauf aufmerksam gemacht, dass er einen Antrag nachreichen solle. Für einen juristischen Laien ist es jedoch verständlicherweise schwierig, ohne weitere Ausführungen der Behörde zu verstehen, wie ein Antrag korrekt formuliert werden müsste. Es wäre dem Beschwerdeführer zwar zumutbar gewesen, bei der Behörde nachzufragen. Da der Be- schwerdeführer dies aber nicht getan hat und wohl davon ausging, dass er verstanden hat, was von ihm verlangt wurde, muss vorliegend nur noch beurteilt werden, ob nach Treu und Glauben unter Berücksichtigung und Auslegung der Begründung von einem genügenden Antrag im Sinne von § 44 Abs. 1 VRG ausgegangen werden muss (vgl. E. 2.2).</w:t>
      </w:r>
    </w:p>
    <w:p>
      <w:r>
        <w:rPr>
          <w:b/>
        </w:rPr>
        <w:t>E. 3.4.1</w:t>
      </w:r>
    </w:p>
    <w:p>
      <w:r>
        <w:t>Wie die Baudirektion in ihrer Vernehmlassung korrekt vorbringt, regelt die Verfü- gung verschiedene Themen, und es liegt daher grundsätzlich am Beschwerdeführer, gel- tend zu machen, in welchen Punkten die angefochtene Verfügung beanstandet wird (vgl. hiervor E. 2.2). Neben der Anordnung zur nachträglichen Einreichung eines Baugesuchs und der Anordnung zum Rückbau bzw. der Ersatzvornahme stellt die Gemeinde Oberägeri auch ihren ausserordentlichen Aufwand für Baukontrollen mit Fr. 555.– als Gebühr in Rechnung (vgl. Ziffer 5 der Verfügung). In den Ziffern 4 und 6 des Dispositivs wird sodann darüber informiert, dass die Gemeinde Oberägeri eine Strafanzeige einreichen werde und keine spezielle Kommunikation notwendig sei. Die Ziffern 4 und 6 sind jedoch als verwal- tungsinterne Entscheidungen der Gemeinde zu werten, welche für die Beteiligten kein verbindliches und erzwingbares Rechtsverhältnis festlegen und daher per se nicht an- fechtbar sind (vgl. dazu Bertschi/Plüss, in: Kommentar VRG ZH, 3. Aufl. 2014, Vorbemer- kungen zu §§ 4–31 N 22; Bosshart/Bertschi, in: Kommentar VRG ZH, 3. Aufl. 2014, § 19 N 7). Unklar ist somit vorliegend nur, ob der Beschwerdeführer nur einen Teil der Zif- fern 1–3 und Ziffer 5 anfechten wollte oder die Verfügung als Ganzes.</w:t>
      </w:r>
    </w:p>
    <w:p>
      <w:r>
        <w:rPr>
          <w:b/>
        </w:rPr>
        <w:t>E. 3.4.2</w:t>
      </w:r>
    </w:p>
    <w:p>
      <w:r>
        <w:t>Aus den Eingaben des Beschwerdeführers lässt sich explizit nur entnehmen, dass er mit der "Anordnung zum Abriss" nicht einverstanden ist. Somit ist nach Treu und Glau- ben aufgrund der beiden Eingaben an die korrekte Beschwerdeinstanz davon auszuge- hen, dass der Beschwerdeführer beantragt die "Anordnung zum Abriss", somit die Rück- bauanordnung bzw. die damit verbundene verfügte Ersatzvornahme, sei aufzuheben. Die Anordnung zum Abriss bzw. der verfügte Rückbau wird grundsätzlich in den Ziffern 2 bzw. 3 (letztere: Ersatzvornahme) des Dispositivs angeordnet. Nun wird jedoch, wie im Ent- scheid der Baudirektion richtig erwähnt worden ist (vgl. Bst. A), die gesamte Verfügung mit "Rückbauanordnung" betitelt. Somit besteht aufgrund des Wortlautes Unklarheit darüber, ob sich die Beschwerde gegen die gesamte Verfügung richtet oder ob der Beschwerdefüh- rer nur gegen die in Ziffer 2 bzw. 3 des Dispositivs geregelte Rückbauanordnung vorgehen wollte. Der Beschwerdeführer bringt in seiner Begründung in erster Linie sinngemäss vor, dass er der Ansicht sei, die umstrittenen Bauten würden bereits seit mehr als 30 Jahren bestehen und es hätten keine (bewilligungspflichtigen) baulichen Massnahmen stattgefun- den, welche eine Rückbauanordnung von diesen bereits seit mehr als 30 Jahren beste- henden Bauten legitimieren würden. Ausgehend von dieser Begründung beanstandet der Beschwerdeführer neben den Ziffern 2 und 3 mindestens sinngemäss auch die Ziffer 1 des Dispositivs (nachträgliches Einreichen eines Baugesuchs), in dem Sinne, dass für be- reits seit 30 Jahren bestehende Bauten bzw. nicht bewilligungspflichtige bauliche Mass- nahmen an diesen Bauten kein Baugesuch notwendig wäre. Aufgrund der von der Ge-</w:t>
      </w:r>
    </w:p>
    <w:p>
      <w:r>
        <w:rPr>
          <w:b/>
        </w:rPr>
        <w:t>E. 4</w:t>
      </w:r>
    </w:p>
    <w:p>
      <w:r>
        <w:t>Gegen den Eigentümer der Grundstücke GS B.________ und GS C.________, A.________, wird wegen nicht Einhaltung der Bauvorschriften gemäss Planungs- und Baugesetz Strafanzeige erho- ben.</w:t>
      </w:r>
    </w:p>
    <w:p>
      <w:r>
        <w:rPr>
          <w:b/>
        </w:rPr>
        <w:t>E. 5</w:t>
      </w:r>
    </w:p>
    <w:p>
      <w:r>
        <w:t>Gestützt auf Ziffer 5.1.1 e) der Gebührenordnung der Einwohnergemeinde Oberägeri wird eine Gebühr von CHF 555 für ausserordentlichen Aufwand bei Baukontrolle in Rechnung gestellt.</w:t>
      </w:r>
    </w:p>
    <w:p>
      <w:r>
        <w:rPr>
          <w:b/>
        </w:rPr>
        <w:t>E. 6</w:t>
      </w:r>
    </w:p>
    <w:p>
      <w:r>
        <w:t>Urteil V 2022 102 3.</w:t>
      </w:r>
    </w:p>
    <w:p>
      <w:r>
        <w:rPr>
          <w:b/>
        </w:rPr>
        <w:t>E. 7</w:t>
      </w:r>
    </w:p>
    <w:p>
      <w:r>
        <w:t>Urteil V 2022 102</w:t>
      </w:r>
    </w:p>
    <w:p>
      <w:r>
        <w:rPr>
          <w:b/>
        </w:rPr>
        <w:t>E. 8</w:t>
      </w:r>
    </w:p>
    <w:p>
      <w:r>
        <w:t>Urteil V 2022 102 meinde Oberägeri zu vertretenden Unklarheit betreffend Bezeichnung der Verfügung und des Umstands, dass sich grundsätzlich sämtliche Dispositiv-Ziffern inkl. der erhobenen Gebühr thematisch um den gleichen Vorgang, nämlich die allfällige Bewilligungspflicht der bereits vorgenommenen baulichen Massnahmen auf GS Nrn. B.________ und C.________ und dessen Folgen drehen, muss bei Auslegung der Eingaben nach Treu und Glauben davon ausgegangen werden, dass der Beschwerdeführer die ganze Verfügung anfechten wollte. Die Begründung lässt vorliegend daher genügend erkennen, in welchen Punkten und weshalb die angefochtene Verfügung beanstandet wird, um von einem An- trag im Sinne von § 44 Abs. 1 VRG auszugehen. 4. Zusammenfassend genügen die beiden Eingaben den Anforderungen an einen Antrag eines juristischen Laien knapp. Der Nichteintretensentscheid der Baudirektion ist daher aufzuheben, und die Beschwerde ist zur materiellen Beurteilung an den Regie- rungsrat zurückzuweisen. 5. Im Verfahren vor dem Verwaltungsgericht trägt die unterliegende Partei die Kosten (§ 23 Abs. 1 Ziff. 3 VRG). Dem Regierungsrat bzw. der Baudirektion belastet das Gericht jedoch keine Kosten (§ 24 Abs. 1 VRG). Dem Beschwerdeführer ist der von ihm bezahlte Kostenvorschuss von Fr. 500.– zurückzubezahlen.</w:t>
      </w:r>
    </w:p>
    <w:p>
      <w:r>
        <w:rPr>
          <w:b/>
        </w:rPr>
        <w:t>E. 9</w:t>
      </w:r>
    </w:p>
    <w:p>
      <w:r>
        <w:t>Urteil V 2022 102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