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121 vom 29. September 2025</w:t>
      </w:r>
    </w:p>
    <w:p>
      <w:r>
        <w:t>ZG Verwaltungsgericht, 2025-09-29, DE</w:t>
      </w:r>
    </w:p>
    <w:p>
      <w:r>
        <w:rPr>
          <w:b/>
        </w:rPr>
        <w:t xml:space="preserve">Quelle: </w:t>
      </w:r>
      <w:r>
        <w:t>https://mcp.opencaselaw.ch/entscheid/zg_verwaltungsgericht_S_2024_121</w:t>
      </w:r>
    </w:p>
    <w:p>
      <w:r>
        <w:t>FR: ZG_VERWALTUNGSGERICHT S 2024 121 du 29 septembre 2025</w:t>
      </w:r>
    </w:p>
    <w:p>
      <w:r>
        <w:t>IT: ZG_VERWALTUNGSGERICHT S 2024 121 del 29 settembre 2025</w:t>
      </w:r>
    </w:p>
    <w:p>
      <w:pPr>
        <w:pStyle w:val="Heading2"/>
      </w:pPr>
      <w:r>
        <w:t>Regeste</w:t>
      </w:r>
    </w:p>
    <w:p>
      <w:r>
        <w:t>Sozialvers.rechtl. Kammer — Invalidenversicherung (Rente) — Beschwerde</w:t>
      </w:r>
    </w:p>
    <w:p>
      <w:pPr>
        <w:pStyle w:val="Heading2"/>
      </w:pPr>
      <w:r>
        <w:t>Erwägungen</w:t>
      </w:r>
    </w:p>
    <w:p>
      <w:r>
        <w:rPr>
          <w:b/>
        </w:rPr>
        <w:t>E. 9</w:t>
      </w:r>
    </w:p>
    <w:p>
      <w:r>
        <w:t>Urteil S 2024 121 ps://www.medregom.admin.ch/medreg/search sowie die Informationen auf htt- ps://www.siwf.ch/weiterbildung/praktischer-arzt.cfm). 4. 4.1 Vorliegend ist die medizinische Aktenlage grundsätzlich liquide. Wie drei psychia- trische Gutachter bzw. Gutachterinnen zwischen 2016 und 2021 feststellten, liegen bei der Versicherten aus psychiatrischer Sicht höchstens leichte Einschränkungen der Arbeits- fähigkeit vor; dies aufgrund von Anpassungsstörungen nach belastenden Lebensereignis- sen sowie aufgrund einer leichten Aktivitäts- und Aufmerksamkeitsstörung (vgl. IV-act. 80 S. 331 ff., 49 S. 9 ff., 80 S. 378 ff.). Die drei Gutachten stimmen in den Diagnosen und Einschätzungen der zumutbaren Arbeitsfähigkeit in einer angepassten Tätigkeit in der Es- senz überein. Das letzte Gutachten des Dr. F.________ vom 7. Oktober 2021 enthält so- dann –genauso wie der Bericht der Dr. I.________ vom 24. November 2023 (IV-act. 157) – eine Einschätzung der funktionellen Leistungsfähigkeit basierend auf Mini-ICF-APP (IV- act. 80 S. 445), wobei aber im psychiatrischen Gutachten vorgängig ersichtlich ist, welche Erhebungen der Einschätzung zugrunde liegen, während die Einschätzung der prakti- schen Ärztin höchstens rudimentär begründet wird. An den klaren fachärztlichen Stellung- nahmen vermögen die nicht weiter begründeten, bzw. mit psychosozialen Belastungsfak- toren begründeten (vgl. etwa E-Mail vom 3. November 2023, IV-act. 150) abweichenden Arbeitsunfähigkeitsatteste der praktischen Ärztin Dr. I.________ keine hinreichenden Zweifel zu begründen. Dies gilt umso mehr, als auffällt, dass sich die Versicherte soweit ersichtlich trotz vorgetragener massiver psychischer Beschwerden nie über einen längeren Zeitraum in psychiatrische Behandlung begeben und eine geeignete psychiatrische Be- handlung in Anspruch genommen hat, handelte es sich doch bereits bei ihrer vormaligen "Psychiaterin" Dr. med. K.________ um eine Fachärztin für Allgemeine Innere Medizin, nicht um eine Psychiaterin. Mithin durfte die IV-Stelle grundsätzlich auf die vom Facharzt gutachterlich attestierte Arbeitsfähigkeit von mindestens 70 % in der angestammten, ge- lernten Tätigkeit als Marketing- und Kommunikationsplanerin abstellen, was zur Ableh- nung eines Rentenanspruchs führen musste. 4.2 Keinen Anlass zu weiteren Abklärungen gab das Scheitern der verschiedenen be- ruflichen Massnahmen. Zwar sah sich – wie die Versicherte zu Recht moniert – am letzten Einsatzort der Einsatzbetrieb gezwungen, die Massnahme mit Blick auf seine Fürsorge- pflicht abzubrechen. Es handelte sich dabei aber offensichtlich um eine haftungslimitieren- de Betrachtung aus Sicht des Arbeitgebers, nachdem die Versicherte – nachdem sie sich ursprünglich gut eingelebt und ein Pensum von 60 % erreicht hatte – plötzlich schwerwie-</w:t>
      </w:r>
    </w:p>
    <w:p>
      <w:r>
        <w:rPr>
          <w:b/>
        </w:rPr>
        <w:t>E. 10</w:t>
      </w:r>
    </w:p>
    <w:p>
      <w:r>
        <w:t>Urteil S 2024 121 gende Vorwürfe gegen den Arbeitgeber erhob und dramatische gesundheitliche Belastun- gen geltend machte (vgl. IV-act. 204 S. 31 ff., insbes. S. 40). Nota bene liegen aber sei- tens der Fachpersonen der beruflichen Eingliederung gerade keine Meinungsäusserungen vor, wonach sich eine höhere Arbeitsfähigkeit trotz einwandfreier Bemühungen der Versi- cherten realistischerweise nicht habe realisieren lassen, sondern empfahlen die zuständi- gen Ansprechpersonen einhellig, nochmals einen Versuch zu starten (vgl. etwa IV- act. 196, 204). Mithin hat die IV-Stelle kein Recht verletzt, wenn sie – nach letztmaliger Vorlage an den RAD-Psychiater Dr. med. J.________ im Juli 2023 (Stellungnahme vom</w:t>
      </w:r>
    </w:p>
    <w:p>
      <w:r>
        <w:rPr>
          <w:b/>
        </w:rPr>
        <w:t>E. 13</w:t>
      </w:r>
    </w:p>
    <w:p>
      <w:r>
        <w:t>Juli 2023, IV-act. 127, mit Verweis auf Stellungnahme des RAD vom 1. Juli 2022, IV- act. 96, wonach nach zweimaliger Begutachtung psychiatrisch allenfalls leichte Einschrän- kungen objektivierbar seien) – auf weitere medizinische Stellungnahmen verzichtete, die berufliche Eingliederung mangels subjektiver Eingliederungsfähigkeit einstellte und die Rentenprüfung aufgrund der bereits vorhandenen medizinischen Akten vornahm. Dies gilt umso mehr, als die Versicherte mehrfach erklärte, sie sei "zu 100 % arbeitsfähig" und "nur zur finanziellen Absicherung derzeit 'arbeitsunfähig' " (IV-act. 204 S. 32), ein 8- Stunden-Job sei ihr problemlos möglich (IV-act. 49 S. 15), sie jedoch wiederholt aufgrund rein psychosozialer Faktoren, etwa der Pflege der verunfallten oder kranken Mutter, an der Erwerbsarbeit gehindert wurde (vgl. etwa IV-act. 80 S. 405 und S. 411, 169 S. 3 ff.). 4.3 Nach dem Gesagten besteht – bei einer aus gesundheitlichen Gründen zumutba- ren Arbeitsfähigkeit von mindestens 70 % in der angestammten Tätigkeit – so oder anders kein Rentenanspruch. Lediglich der Vollständigkeit halber ist jedoch zusätzlich festzuhal- ten, dass darüber hinaus keineswegs klar ist, dass die Versicherte als im Gesundheitsfall Vollerwerbstätige zu qualifizieren wäre, nachdem sie lediglich während sehr kurzer Zeit und – nach eigener Aussage – "contre coeur" eine 100 %-Anstellung inne hatte (vgl. etwa IV-act. 49 S. 19; aber auch etwa IV-act. 204 S. 30, wonach sie eigentlich gerne eine Teil- zeitstelle hätte). Es liegt demnach nahe, dass die Versicherte auch im Gesundheitsfall langfristig nur in einem Pensum von maximal 60 % gearbeitet hätte, allenfalls mit einem Aufgabenbereich (Pflege der Mutter, worin bislang keine Einschränkungen geltend ge- macht wurden), so wie dies denn auch offenbar über lange Jahre der Fall gewesen sei (IV- act. 115; vgl. auch IV-act. 80 S. 334 und 204 S. 14 [Telefonanruf vom 4. August 2023]). In diesem Kontext leuchtet ein, dass die beruflichen Massnahmen mehrfach bis zu einem Pensum von 60 % erfolgreich verliefen, eine weitere Steigerung jedoch nicht möglich war (vgl. etwa IV-act. 196 S. 3 und 202). Wie es sich damit verhält, kann indes mit Blick auf das Ergebnis (so oder anders kein Rentenanspruch) letztlich offenbleiben. Ebenso erübri-</w:t>
      </w:r>
    </w:p>
    <w:p>
      <w:r>
        <w:t>11 Urteil S 2024 121 gen sich weitere Abklärungen bezüglich der selbständigen Tätigkeit der Versicherten im Zeitraum zwischen 2020 und 2024 (vgl. immerhin die Website der Beschwerdeführerin L.________, welche den Eindruck aktiver Coaching-Tätigkeit erweckt) sowie zur Frage, ob die Eingliederungsmöglichkeiten vorliegend ausgeschöpft wurden (vgl. zu diesem Erfor- dernis oben E. 2.3).</w:t>
      </w:r>
    </w:p>
    <w:p>
      <w:r>
        <w:t>4.4 Zusammenfassend liessen sich bei der Versicherten fachärztlich lediglich leichte Einschränkungen in der angestammten Tätigkeit objektivieren bzw. plausibilisieren; darü- ber hinaus hielten sämtliche Gutachter fest, dass die eingeschränkte Verfügbarkeit für eine Arbeitstätigkeit auf invaliditätsfremden psychosozialen Faktoren beruhte. Wie der RAD- Psychiater am 13. Juli 2023 nachvollziehbar würdigte, führten diese denn auch zum Schei- tern der beruflichen Steigerung über 60 % aufgrund fehlender subjektiver Eingliederungs- bereitschaft. Dies steht im Einklang mit der Äusserung der Versicherten, sie wolle nur noch das arbeiten, was ihr entspreche und Spass mache (IV-act. 204 S. 42, Mitteilung vom 8. Mai 2024). Solches steht ihr zwar frei; besteht indes eine Diskrepanz zwischen dem, was ihr gesundheitlich zugemutet werden dürfte und dem, was ihr Spass macht, kann die Differenz nicht zu einem Rentenanspruch zulasten des Versichertenkollektivs führen, handelt es sich doch um eine invaliditätsfremde Frage der individuellen Lebensge- staltung, welche für die Invaliditätsberechnung unmassgeblich ist. 5. Das Verfahren ist gemäss Art. 61 lit. fbis ATSG i.V.m. Art. 69 Abs. 1bis IVG kosten- pflichtig. Es ist demnach eine Spruchgebühr zu Lasten der unterliegenden Beschwerde- führerin zu erheben, die auf Fr. 800. festgesetzt und mit dem von ihr geleisteten Kosten- vorschuss in nämlicher Höhe verrechnet wird (§ 22a Abs. 2 VRG i.V.m. § 1 der Verord- nung über die Kosten im Verfahren vor dem Verwaltungsgericht [KostenVO; BGS 162.12]; § 23 Abs. 1 Ziff. 3 VRG). Eine Parteientschädigung ist ausgangsgemäss nicht zuzuspre- chen (Art. 61 lit. g ATSG).</w:t>
      </w:r>
    </w:p>
    <w:p>
      <w:r>
        <w:t>12 Urteil S 2024 121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