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88 vom 22. Dezember 2023</w:t>
      </w:r>
    </w:p>
    <w:p>
      <w:r>
        <w:t>ZG Verwaltungsgericht, 2023-12-22, DE</w:t>
      </w:r>
    </w:p>
    <w:p>
      <w:r>
        <w:rPr>
          <w:b/>
        </w:rPr>
        <w:t xml:space="preserve">Quelle: </w:t>
      </w:r>
      <w:r>
        <w:t>https://mcp.opencaselaw.ch/entscheid/zg_verwaltungsgericht_S_2023_88</w:t>
      </w:r>
    </w:p>
    <w:p>
      <w:r>
        <w:t>FR: ZG_VERWALTUNGSGERICHT S 2023 88 du 22 décembre 2023</w:t>
      </w:r>
    </w:p>
    <w:p>
      <w:r>
        <w:t>IT: ZG_VERWALTUNGSGERICHT S 2023 88 del 22 dicembre 2023</w:t>
      </w:r>
    </w:p>
    <w:p>
      <w:pPr>
        <w:pStyle w:val="Heading2"/>
      </w:pPr>
      <w:r>
        <w:t>Regeste</w:t>
      </w:r>
    </w:p>
    <w:p>
      <w:r>
        <w:t>Sozialvers.rechtl. Kammer — Berufliche Vorsorge (Beiträge) — Klage</w:t>
      </w:r>
    </w:p>
    <w:p>
      <w:pPr>
        <w:pStyle w:val="Heading2"/>
      </w:pPr>
      <w:r>
        <w:t>Erwägungen</w:t>
      </w:r>
    </w:p>
    <w:p>
      <w:r>
        <w:rPr>
          <w:b/>
        </w:rPr>
        <w:t>E. 2</w:t>
      </w:r>
    </w:p>
    <w:p>
      <w:r>
        <w:t>Urteil S 2023 88 A. Die A.________ GmbH mit Sitz in B.________/ZG schloss sich mit Vertrag vom 16./22. September 2020 rückwirkend per 1. Februar 2020 für die Durchführung der obliga- torischen beruflichen Vorsorge ihrer Arbeitnehmerinnen und Arbeitnehmer der TRIKOLON Sammelstiftung für berufliche Vorsorge an (KL-act. 2.1). B. Mit Eingabe vom 11. September 2023 gelangte die TRIKOLON Sammelstiftung für berufliche Vorsorge ans Verwaltungsgericht des Kantons Zug (act. 1). Da diese Eingabe kein Rechtsbegehren enthielt und begründend pauschal auf die beigelegten Akten verwie- sen wurde, wurde der Vorsorgeeinrichtung gemäss § 83 Abs. 2 VRG eine kurze Nachfrist zur Verbesserung der Klage i.S.v. § 83 Abs. 1 VRG angesetzt (act. 2). C. Am 27. September 2023 (Postaufgabe) reichte die TRIKOLON Sammelstiftung für berufliche Vorsorge daraufhin erneut ein Schreiben (ohne eigentliches Rechtsbegehren) beim Verwaltungsgericht ein, welches sie jedoch mit dem vom Kantonsgericht des Kan- tons Zug im Internet zur Verfügung gestellten Formular "Rechtsöffnungsbegehren" ergänz- te (act. 3). Dem besagten Formular kann folgendes Rechtsbegehren entnommen werden: In der Betreibung Nr. _______ des Betreibungsamtes B.________/ZG sei hiermit gestützt auf die nachstehend aufgeführten Unterlagen im Sinne der Art. 80/82 SchKG Rechtsöffnung zu erteilen für folgenden Forderungsbetrag: Fr. 5'594.20 nebst Zins zu 5 % seit 1. Januar 2023 Fr. 5'862.30 nebst Zins zu 5 % seit 1. April 2023 Fr. 150.– Fr. 1'287.40 Total: Fr. 12'893.90 Die Gerichtskosten seien der Schuldnerin aufzuerlegen. Darüber hinaus enthält das Formular eine kurze Begründung und ist seinerseits durch zwei kollektiv zu zweien zeichnungsberechtigte Personen der Klägerin unterzeichnet. D. Die Beklagte liess sich nicht vernehmen.</w:t>
      </w:r>
    </w:p>
    <w:p>
      <w:r>
        <w:rPr>
          <w:b/>
        </w:rPr>
        <w:t>E. 3</w:t>
      </w:r>
    </w:p>
    <w:p>
      <w:r>
        <w:t>Urteil S 2023 88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Gesetzes über den Rechtsschutz in Verwaltungssachen (Verwaltungsrechtspflegegesetz, VRG; BGS 162.1) beurteilt das Ver- waltungsgericht als einzige kantonale Instanz Klagen aus dem Gebiet der eidgenössi- schen Sozialversicherung, für deren Beurteilung das Bundesrecht eine einzige kantonale Gerichtsbehörde vorschreibt. Angesichts des Sitzes der Beklagten in B.________/ZG ist das hiesige Verwaltungsgericht zur Beurteilung der vorliegenden Klage örtlich und sachlich zuständig. Die Klägerin han- delt durch zwei kollektiv zu zweien unterschriftsberechtigte Personen und ist als Gläubige- rin der strittigen Forderung zur Anhebung der Klage gemäss Art. 73 BVG legitimiert. Die verbesserte Klageschrift vom 27. September 2023 erfüllt (zumindest) in Verbindung mit dem beigelegten und ebenfalls eigenhändig unterzeichneten Formular "Rechtsöffnungs- begehren" die formellen Anforderungen gemäss § 83 Abs. 1 VRG, wonach die Klage- schrift einen Antrag und eine Begründung zu enthalten hat. Auf die Klage ist somit einzu- treten. Die Beurteilung erfolgt auf dem Zirkulationsweg gemäss § 29 der Geschäftsord- nung des Verwaltungsgerichtes (GO VG; BGS 162.11). 2. Im Klageverfahren nach Art. 73 BVG herrscht die Dispositionsmaxime, d.h. die Parteien definieren den Streitgegenstand. Der Streitgegenstand bestimmt sich einzig nach Massgabe der Rechtsbegehren der Klage sowie einer allfälligen Widerklage. Indessen ist das Berufsvorsorgegericht innerhalb des Streitgegenstandes in Durchbrechung der Dispo- sitionsmaxime an die Begehren der Parteien nicht gebunden (BGE 135 V 23 E. 3.1; Hür- zeler/Bättig-Lischer, in: Basler Kommentar, Berufliche Vorsorge, 2020, Art. 73 BVG N 67). Es liegt im Belieben der klägerischen Partei, den Streit zu definieren, den sie dem Gericht vortragen will; mithin steht es ihr frei, nur einen Teil ihrer Forderung einzuklagen. Vorliegend beschränkt die Klägerin ihre Klage durch das gestellte Rechtsbegehren explizit auf die Erteilung der Rechtsöffnung. Für eine Forderung wird insoweit Rechtsöffnung er-</w:t>
      </w:r>
    </w:p>
    <w:p>
      <w:r>
        <w:rPr>
          <w:b/>
        </w:rPr>
        <w:t>E. 4</w:t>
      </w:r>
    </w:p>
    <w:p>
      <w:r>
        <w:t>Urteil S 2023 88 teilt, als sie berechtigterweise in Betreibung gesetzt wurde. Insofern ist zumindest implizit davon auszugehen, dass die Klägerin die Beklagte damit auch zur Zahlung der in Betrei- bung gesetzten Forderung verpflichten will. Das Rechtsbegehren ist nach Treu und Glau- ben folglich (zumindest) hinsichtlich der in Betreibung gesetzten Forderung auch als Leis- tungsbegehren zu verstehen (vgl. zur Auslegung von Rechtsbegehren nach Treu und Glauben im Lichte der dazu gegebenen Begründung etwa BGer 9C_454/2016 vom</w:t>
      </w:r>
    </w:p>
    <w:p>
      <w:r>
        <w:rPr>
          <w:b/>
        </w:rPr>
        <w:t>E. 4.1</w:t>
      </w:r>
    </w:p>
    <w:p>
      <w:r>
        <w:t>Im vorliegenden Klageverfahren beschränkt sich der Streitgegenstand auf die in Betreibung gesetzte Forderung (vgl. vorne E. 2). Aus dem Zahlungsbefehl Nr. _______ des Betreibungsamtes B.________/ZG vom 3. April 2023 lässt sich entnehmen, wie sich diese zusammensetzt (KL-act. 1): 1. Beitragsausstand 4. Quartal 2022, Fr. 5'594.20 zuzüglich Zins von 5 % seit 1. Januar 2023 2. Beitragsausstand 1. Quartal 2023, Fr. 5'862.30 zuzüglich Zins von 5 % seit 1. April 2023 3. Mahnung vom 17. Februar 2023, Fr. 50.– zuzüglich Zins von 5 % seit 4. April 2023 4. Mahnung vom 21. Dezember 2022, Fr. 50.– zuzüglich Zins von 5 % seit 4. April 2023 5. Mahnung vom 18. November 2022, Fr. 50.– zuzüglich Zins von 5 % seit 4. April 2023 Im Folgenden sind die rechtlichen Grundlagen und die Höhe der geltend gemachten Forderung zu prüfen.</w:t>
      </w:r>
    </w:p>
    <w:p>
      <w:r>
        <w:rPr>
          <w:b/>
        </w:rPr>
        <w:t>E. 4.2</w:t>
      </w:r>
    </w:p>
    <w:p>
      <w:r>
        <w:t>In diesem Zusammenhang ist auf Art. 73 Abs. 2 BVG zu verweisen, wonach das Versicherungsgericht den Sachverhalt grundsätzlich von Amtes wegen abzuklären hat, weshalb die Korrektheit der eingeklagten Forderungssumme zu überprüfen ist. Allerdings findet der Untersuchungsgrundsatz seine Grenze in der Mitwirkungspflicht der Parteien. Dazu gehört im Klageverfahren betreffend Beiträge der beruflichen Vorsorge insbesondere die Substanziierungspflicht. Danach müssen die wesentlichen Tatsachenbehauptungen und Bestreitungen in den Rechtsschriften enthalten sein. Soweit die eingeklagte Forde- rung hinreichend substanziiert ist, bleiben nicht oder zu wenig substanziierte Bestreitun- gen unberücksichtigt. Demgegenüber darf das Gericht eine Klage, soweit sie nicht hinrei- chend substanziiert und nachvollziehbar ist, trotz ungenügend substanziierter oder gänz- lich fehlender Bestreitungen nicht gutheissen. In diesem Sinne liegt die Substanziierungs- last für Bestand und Umfang der streitigen Beitragsforderung bei der Vorsorgeeinrichtung,</w:t>
      </w:r>
    </w:p>
    <w:p>
      <w:r>
        <w:t>6 Urteil S 2023 88 die Bestreitungslast für deren Unrichtigkeit oder Unbegründetheit hingegen beim Arbeitge- ber. Der eingeklagte Forderungsbetrag ist zeitlich und masslich zu spezifizieren, also ge- stützt auf eine Beitragsübersicht zu behaupten, wie er sich zusammensetzt. Wie detailliert die in der Beitragsübersicht enthaltenen Positionen zu belegen sind, hängt im Übrigen we- sentlich davon ab, ob und inwieweit der beklagte Arbeitgeber die Beitragsforderung sub- stanziiert bestreitet (vgl. zum Ganzen etwa BGer 9C_314/2008 vom 25. August 2008 E. 3.2 mit Hinweisen). Unterlässt es die Beklagte, die in der Klageschrift (samt Beilagen) mindestens glaubhaft gemachte und durch Aktenstücke dokumentierte Forderung in Frage zu stellen, ist es nicht Aufgabe des Sozialversicherungsgerichts, die Richtigkeit sämtlicher Positionen der unbestrittenen Forderung quasi auf Vorrat aufgrund von Abrechnungen, Listen und Tabellen im Detail zu prüfen. Vorliegend wurde die Forderung weder in Be- stand noch Umfang beanstandet, so dass lediglich eine summarische Prüfung der Recht- mässigkeit der eingeklagten Positionen vorzunehmen ist.</w:t>
      </w:r>
    </w:p>
    <w:p>
      <w:r>
        <w:rPr>
          <w:b/>
        </w:rPr>
        <w:t>E. 4.3</w:t>
      </w:r>
    </w:p>
    <w:p>
      <w:r>
        <w:t>Bei der Klägerin handelt es sich um eine gemäss Art. 48 BVG registrierte Vorsor- geeinrichtung. Mit ihr schloss die Beklagte im September 2020 rückwirkend per 1. Februar 2020 einen Anschlussvertrag ab (KL-act. 2.1). Es liegen keine Indizien dafür vor, dass die- ser Anschluss nicht vorbehaltlos zustande kam. Die Beklage anerkannte mit der Unter- zeichnung des Anschlussvertrages insbesondere die allgemeinen Anschlussvertrags- bestimmungen (AVB), die Stiftungsurkunde, das Personalvorsorge- und Organisationsre- glement (inkl. Anhänge) sowie das Anlagereglement als verbindliche Rechtsgrundlagen (KL-act. 2.1, Ziff. 2.1; vgl. zur Beitragspflicht insbesondere Ziff. 4 der AVB [KL-act. 2.2] sowie Ziff. 18 ff. des Vorsorgeplans "Basis" als integrierender Bestandteil des Personal- vorsorge- und Organisationsreglements [KL-act. 2.3]). 5. 5.1 Aus den Akten – insbesondere aus den aufgelegten Beitragsrechnungen und den dazugehörigen Kontoauszügen (KL-act. 3.1 und 3.2), der Kontoübersicht per 26. Septem- ber 2023 (KL-act. 5.3) und den aufgelegten Mahnschreiben (KL-act. 4.1, 4.2, 4.4) – geht ohne Weiteres hervor, dass die eingeklagte Forderung Mahnkosten von total Fr. 150.– (3 x Fr. 50.–) sowie Beitragsforderungen von Fr. 5'594.20 (4. Quartal 2022) und Fr. 5'862.30 (1. Quartal 2023) enthält. Die Beklagte hat sich mit der Unterzeichnung des Anschlussvertrages zur Bezahlung der in Rechnung gestellten Beiträge verpflichtet; die offenen Beiträge von Fr. 5'594.20 und Fr. 5'862.30 hat sie weder dem Grundsatz noch der Höhe nach bestritten.</w:t>
      </w:r>
    </w:p>
    <w:p>
      <w:r>
        <w:t>7 Urteil S 2023 88 5.2 Die eingeklagte Forderung enthält – wie vorstehend erwähnt – Mahnkosten von gesamthaft Fr. 150.–. Diese betreffen die ausgewiesenen (eingeschriebenen) Mahnungen vom 18. November 2022 (KL-act. 4.1), 21. Dezember 2022 (KL-act. 4.2) und 17. Februar 2023 (KL-act. 4.4) und haben ihre Grundlage in Ziff. 4.3 des Kostenreglements (KL- act. 5.4). Wohlgemerkt hat die säumige Beklagte die geltend gemachte Forderung auch diesbezüglich nie bestritten und das Kostenreglement (Anhang 2 des Personalvorsorge- und Organisationsreglement) als integrierenden Bestandteil des Anschlussvertrages aner- kannt (vgl. zu den geltend gemachten Verzugszinsen in diesem Zusammenhang allerdings nachfolgende E. 5.3). 5.3 Im Weiteren werden sowohl auf die Beitragsausstände als auch auf die Mahnge- bühren Verzugszinse verlangt. Bezüglich der Mahnkosten werden Verzugszinse im Zah- lungsbefehl bzw. im Betreibungsverfahren gefordert (KL-act. 1); im Formular "Rechtsbe- gehren" werden solche im eigentlichen Rechtsbegehren nicht geltend gemacht, in der im Formular enthaltenen Begründung dann aber wieder aufgelistet (act. 3). Wie die nachfol- gende Erwägung 5.3.2 zeigt, sind Verzugszinse für ausserordentliche administrative Um- triebe allerdings so oder anders nicht geschuldet, sodass sich Weiterungen dazu erübri- gen, ob diese vorliegend überhaupt vom Streitgegenstand erfasst sind. 5.3.1 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Vorliegend enthält Ziff. 4.2 der AVB keine explizite Verzugszinsbestimmung bzw. wird darin auf die Regelung von Art. 104 OR verwiesen (KL-act. 2.2). 5.3.2 Rechtsprechungsgemäss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w:t>
      </w:r>
    </w:p>
    <w:p>
      <w:r>
        <w:t>8 Urteil S 2023 88 welche im Sinne von Art. 66 Abs. 1 BVG (ebenfalls) paritätisch zu leisten und durch die Beiträge der Arbeitnehmenden und Arbeitgebenden zu finanzieren sind. Davon nicht er- fasst sind Kosten, bei denen es sich um ausserordentliche administrative Umtriebe han- delt, die einzig und allein zulasten der Arbeitgeberin gehen. Diesbezüglich besteht auch kein Raum für das (subsidiäre) Heranziehen von Art. 104 Abs. 1 OR (BGer 9C_180/2019 vom 2. März 2020 E. 3.2.1; VGer ZG S 2023 7 vom 31. Mai 2023 E. 4.3.2, mit weiteren Hinweisen). Bei den hier angefallenen Mahnkosten handelt es sich um Kosten für ausserordentliche administrative Umtriebe. Diese sind somit nicht zu verzinsen. 5.3.3 Gemäss AVB sind Sparbeiträge grundsätzlich per Ende eines jeden Quartals fällig (KL-act. 2.2, Ziff. 4.2). Für die Beitragsausstände des 4. Quartals 2022 wird ein Zins von 5 % seit 1. Januar 2023 geltend gemacht; für die Beitragsausstände des 1. Quartals 2023 ein Zins von 5 % seit 1. April 2023. Dies ist nach dem Gesagten nicht zu beanstanden. 6. Zusammenfassend sind – nachdem die Beklagte auch im vorliegenden Verfahren die von der Klägerin geltend gemachte Forderung nicht bestritten hat – gestützt auf die Ak- tenlage Forderungen von Fr. 5'594.20 (Beitragsausstand 4. Quartal 2022) zuzüglich Ver- zugszins von 5 % seit 1. Januar 2023 und Fr. 5'862.30 (Beitragsausstand 1. Quartal 2023) zuzüglich Verzugszins von 5 % seit 1. April 2023 sowie vertraglich geschuldete Mahn- gebühren von Fr. 150.– ausgewiesen. In diesem Umfang ist die Klage gutzuheissen. 7. Des Weiteren ist über das Rechtsöffnungsbegehren der Klägerin zu entscheiden. Für eine Forderung wird insoweit Rechtsöffnung erteilt, als sie berechtigterweise in Betrei- bung gesetzt wurde. In Berücksichtigung des Zahlungsbefehls Nr. _______ des Betrei- bungsamtes B.________/ZG vom 3. April 2023 (KL-act. 1) ist für die eingeklagte Forde- rung im Umfang von Fr. 5'594.20 zuzüglich Verzugszins von 5 % seit 1. Januar 2023 und Fr. 5'862.30 zuzüglich Verzugszins von 5 % seit 1. April 2023 sowie vertraglich geschulde- te Mahngebühren von Fr. 150.– die definitive Rechtsöffnung zu erteilen. Für die ebenfalls in Betreibung gesetzten Verzugszinsen bezüglich der Mahngebühren ist keine Rechtsöff- nung zu erteilen, da diese nicht geschuldet sind. Für die Betreibungskosten von Fr. 103.30 (Ausstellung des Zahlungsbefehls) braucht schliesslich keine Rechtsöffnung erteilt zu werden, da die Gläubigerin gemäss Art. 68 Abs. 2 SchKG berechtigt ist, von den Zahlun- gen der Schuldnerin die Betreibungskosten vorab zu erheben.</w:t>
      </w:r>
    </w:p>
    <w:p>
      <w:r>
        <w:rPr>
          <w:b/>
        </w:rPr>
        <w:t>E. 9</w:t>
      </w:r>
    </w:p>
    <w:p>
      <w:r>
        <w:t>Urteil S 2023 88 8. Verfahrenskosten werden keine erhoben (Art. 73 Abs. 2 BVG). Die obsiegende Vorsorgeeinrichtung hat als Sozialversicherungsträgerin praxisgemäss keinen Anspruch auf eine Parteientschädigung (BGE 128 V 323; 112 V 356 E. 6).</w:t>
      </w:r>
    </w:p>
    <w:p>
      <w:r>
        <w:rPr>
          <w:b/>
        </w:rPr>
        <w:t>E. 10</w:t>
      </w:r>
    </w:p>
    <w:p>
      <w:r>
        <w:t>Urteil S 2023 88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