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66 vom 17. Juni 2024</w:t>
      </w:r>
    </w:p>
    <w:p>
      <w:r>
        <w:t>ZG Verwaltungsgericht, 2024-06-17, DE</w:t>
      </w:r>
    </w:p>
    <w:p>
      <w:r>
        <w:rPr>
          <w:b/>
        </w:rPr>
        <w:t xml:space="preserve">Quelle: </w:t>
      </w:r>
      <w:r>
        <w:t>https://mcp.opencaselaw.ch/entscheid/zg_verwaltungsgericht_S_2023_66</w:t>
      </w:r>
    </w:p>
    <w:p>
      <w:r>
        <w:t>FR: ZG_VERWALTUNGSGERICHT S 2023 66 du 17 juin 2024</w:t>
      </w:r>
    </w:p>
    <w:p>
      <w:r>
        <w:t>IT: ZG_VERWALTUNGSGERICHT S 2023 66 del 17 giugno 2024</w:t>
      </w:r>
    </w:p>
    <w:p>
      <w:pPr>
        <w:pStyle w:val="Heading2"/>
      </w:pPr>
      <w:r>
        <w:t>Regeste</w:t>
      </w:r>
    </w:p>
    <w:p>
      <w:r>
        <w:t>Sozialvers.rechtl. Kammer — Arbeitslosenversicherung (Insolvenzentschädigung) — Beschwerde</w:t>
      </w:r>
    </w:p>
    <w:p>
      <w:pPr>
        <w:pStyle w:val="Heading2"/>
      </w:pPr>
      <w:r>
        <w:t>Erwägungen</w:t>
      </w:r>
    </w:p>
    <w:p>
      <w:r>
        <w:rPr>
          <w:b/>
        </w:rPr>
        <w:t>E. 2</w:t>
      </w:r>
    </w:p>
    <w:p>
      <w:r>
        <w:t>Urteil S 2023 66 A. A.________, geboren 1978, arbeitete seit Juli 2008 für die B.________ in Zug (ALK-act. 26). Nach durchgeführtem Schlichtungsverfahren (ALK-act. 19) erhob der Versi- cherte am 12. Februar 2016 beim Kantonsgericht Zug Klage gegen die B.________ und forderte insbesondere die Bezahlung der Löhne der Monate November 2015, Dezember 2015 und Januar 2016 in der Höhe von je Fr. 8'050.– nebst Zins zu 5 % (ALK-act. 18). Am</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 findet, die Kosten vorzu- schiessen (lit. b), oder wenn sie gegen ihren Arbeitgeber für Lohnforderungen das Pfän- dungsbegehren gestellt haben (lit. c). Der Anspruch auf Insolvenzentschädigung knüpft an den Eintritt eines im Gesetz abschliessend aufgezählten, gleichrangigen Insolvenztatbe- standes an. Bei mehreren sich folgenden Insolvenztatbeständen des gleichen Arbeitge- bers ist das zeitlich zuerst eintretende Ereignis massgebend (Thomas Nussbaumer, Ar- beitslosenversicherung, in: Schweizerisches Bundesverwaltungsrecht [SBVR], Bd. Soziale Sicherheit, 3. Aufl. 2016, Rz. 604).</w:t>
      </w:r>
    </w:p>
    <w:p>
      <w:r>
        <w:rPr>
          <w:b/>
        </w:rPr>
        <w:t>E. 2.2.1</w:t>
      </w:r>
    </w:p>
    <w:p>
      <w:r>
        <w:t>Wird über den Arbeitgeber der Konkurs eröffnet, so muss der Arbeitnehmer seinen Entschädigungsanspruch spätestens 60 Tage nach der Veröffentlichung des Konkurses im Schweizerischen Handelsamtsblatt (SHAB) bei der öffentlichen Kasse stellen, die am Ort des Betreibungs- und Konkursamtes zuständig ist (Art. 53 Abs. 1 AVIG). Mit dem Ab- lauf dieser Frist erlischt der Anspruch auf Insolvenzentschädigung (Art. 53 Abs. 3 AVIG).</w:t>
      </w:r>
    </w:p>
    <w:p>
      <w:r>
        <w:rPr>
          <w:b/>
        </w:rPr>
        <w:t>E. 2.2.2</w:t>
      </w:r>
    </w:p>
    <w:p>
      <w:r>
        <w:t>Im Falle nach Art. 51 Abs. 1 lit. b AVIG hat der Arbeitnehmer oder die Arbeitneh- merin den Anspruch auf Insolvenzentschädigung spätestens 60 Tage nach Kenntnisnah-</w:t>
      </w:r>
    </w:p>
    <w:p>
      <w:r>
        <w:rPr>
          <w:b/>
        </w:rPr>
        <w:t>E. 2.2.3</w:t>
      </w:r>
    </w:p>
    <w:p>
      <w:r>
        <w:t>Publikationen unter den SHAB-Rubriken "Handelsregister" oder "vorläufige Kon- kursanzeige" lösen den Beginn des Fristenlaufes nicht aus, da sie gesetzlich nicht vorge- schrieben sind. Erst die öffentliche Bekanntmachung im Sinne von Art. 232 respektive Art. 233 SchKG (Rubrik Konkurspublikation/Schuldenruf) ist entscheidend für den Beginn des Fristenlaufes (ARV 1989 S. 67; AVIG-Praxis IE, Rz. B26). Im Falle eines Konkursverfahrens, das mangels Aktiven eingestellt werden musste, ist für die Verwirkungsfrist von 60 Tagen die Publikation der Einstellung des Konkurses im SHAB nur dann massgebend (Art. 230 Abs. 2 SchKG), sofern nicht bereits eine Veröffentlichung der Konkurseröffnung im SHAB stattgefunden hat (ARV 1989 S. 66; BGE 114 V 354; AVIG-Praxis IE, Rz. B26). 3.</w:t>
      </w:r>
    </w:p>
    <w:p>
      <w:r>
        <w:rPr>
          <w:b/>
        </w:rPr>
        <w:t>E. 4</w:t>
      </w:r>
    </w:p>
    <w:p>
      <w:r>
        <w:t>Urteil S 2023 66 gegesetzes [VRG; BGS 162.1]). Da die B.________ ihren Sitz in Zug hatte, ist die örtliche und sachliche Zuständigkeit des Verwaltungsgerichts des Kantons Zug gegeben. Da der Einspracheentscheid vom 15. Mai 2023 dem Beschwerdeführer ausweislich der Akten frühestens am 16. Mai 2023 zugestellt wurde, erweist sich die am 15. Juni 2023 verfasste und gleichentags beim Verwaltungsgericht des Kantons Zug eingereichte Beschwerde als fristgerecht. Der Beschwerdeführer ist durch den angefochtenen Einspracheentscheid berührt und kann sich auf ein schutzwürdiges Interesse an dessen Aufhebung berufen, weshalb er zur Beschwerde legitimiert ist. Die Beschwerdeschrift entspricht sodann den übrigen formellen Anforderungen, weshalb sie zu prüfen ist. Die Beurteilung erfolgt auf dem Zirkulationsweg gemäss § 29 der Geschäftsordnung des Verwaltungsgerichtes (GO VG; BGS 162.11). 2.</w:t>
      </w:r>
    </w:p>
    <w:p>
      <w:r>
        <w:rPr>
          <w:b/>
        </w:rPr>
        <w:t>E. 4.1</w:t>
      </w:r>
    </w:p>
    <w:p>
      <w:r>
        <w:t>Streitig und zu prüfen ist zunächst, wann die 60-tägige Frist zur Geltendmachung des Anspruchs auf Insolvenzentschädigung vorliegend zu laufen begann.</w:t>
      </w:r>
    </w:p>
    <w:p>
      <w:r>
        <w:rPr>
          <w:b/>
        </w:rPr>
        <w:t>E. 4.2</w:t>
      </w:r>
    </w:p>
    <w:p>
      <w:r>
        <w:t>Was den Insolvenztatbestand von Art. 51 Abs. 1 lit. b AVIG betrifft, ist darauf hin- zuweisen, dass sich – wie der Beschwerdeführer zutreffend bemerkte – aus den Jahres- berichten der B.________ von 2015 und 2016 (BF-act. 11) keine Hinweise für eine offen- sichtliche Überschuldung der Firma ergaben. Ebenfalls keine entsprechenden Anhalts- punkte für eine offensichtliche Überschuldung waren in den Entscheiden des Kantonsge- richts Zug vom 23. März und 10. November 2020 enthalten (ALK-act. 12–13). In den Ein- gaben vom 13. April 2021, mit welchen der Beschwerdeführer die Konkursbegehren ge- gen die B.________ zurückzog, wies er darauf hin, dass die Arbeitgeberin die Sozialversi- cherungsbeiträge der Monate September 2015 bis und mit April 2016 nicht bezahlt habe. Zudem ignoriere sie den rechtskräftigen Vollstreckungsentscheid des Kantonsgerichts Zug</w:t>
      </w:r>
    </w:p>
    <w:p>
      <w:r>
        <w:rPr>
          <w:b/>
        </w:rPr>
        <w:t>E. 4.3</w:t>
      </w:r>
    </w:p>
    <w:p>
      <w:r>
        <w:t>Im Weiteren ist darauf hinzuweisen, dass die B.________ mit Entscheid des Ein- zelrichters des Kantonsgerichts Zug vom E.________ gemäss Art. 731b OR – das heisst wegen Mängeln in der Organisation der Gesellschaft – aufgelöst und ihre Liquidation nach den Vorschriften über den Konkurs angeordnet wurde. Am H.________ wurde im SHAB unter der Rubrik "Handelsregistereintragungen" die entsprechende Mutationsmeldung pu- bliziert (www.shab.ch). Mit Entscheid des Einzelrichters des Kantonsgerichts Zug vom</w:t>
      </w:r>
    </w:p>
    <w:p>
      <w:r>
        <w:rPr>
          <w:b/>
        </w:rPr>
        <w:t>E. 5</w:t>
      </w:r>
    </w:p>
    <w:p>
      <w:r>
        <w:t>Urteil S 2023 66 me des unbenützten Ablaufs der Frist für die Leistung des Kostenvorschusses nach Art. 169 Abs. 2 des Bundesgesetzes über Schuldbetreibung und Konkurs (SchKG; SR 281.1) geltend zu machen (Art. 77 Abs. 5 AVIV). Die Person, welche das Konkursbegehren gestellt hat, nimmt in jedem Fall Kenntnis vom unbenützten Ablauf der Frist für die Leistung des Kostenvorschusses nach Art. 169 Abs. 2 SchKG (AVIG-Praxis IE des Staatssekretariats für Wirtschaft SECO, Stand: 1. Januar 2021, Rz. B26; vgl. zur Bedeutung von Verwaltungsweisungen BGE 133 V 587 E. 6.1). Art. 51 Abs. 1 lit. b AVIG setzt im Sinne einer doppelten Kausalität voraus, dass die Nich- teröffnung des Konkurses einzig durch das Fehlen der Bereitschaft der Gläubiger bedingt ist, die Kosten für das Konkursverfahren vorzuschiessen; der Grund für diese mangelnde Bereitschaft wiederum liegt in der offensichtlichen Überschuldung des Arbeitgebers (BGE 131 V 196 E. 4.1.1 mit Hinweisen). Zu prüfen ist, ob zwischen der offensichtlichen Über- schuldung des Arbeitgebers und der Nichtleistung des Kostenvorschusses ein direkter Zu- sammenhang anzunehmen ist (BGE 134 V 88 E. 6.2). Die Überschuldung ist offensicht- lich, wenn sie von jedem Gläubiger ohne weitere Schwierigkeiten erkennbar ist. Liegt der Grund der Nichtbezahlung des Kostenvorschusses jedoch in der mangelnden Feststell- barkeit der Überschuldung, in Zahlungsschwierigkeiten der Gläubiger oder in der Befürch- tung von Schwierigkeiten, ist die Voraussetzung von Art. 51 Abs. 1 lit. b AVIG nicht gege- ben (Thomas Gächter, in: Basler Kommentar, Bundesgesetz über Schuldbetreibung und Konkurs, 3. Aufl. 2021, N 20 zu Art. 51 AVIG mit Hinweisen).</w:t>
      </w:r>
    </w:p>
    <w:p>
      <w:r>
        <w:rPr>
          <w:b/>
        </w:rPr>
        <w:t>E. 6</w:t>
      </w:r>
    </w:p>
    <w:p>
      <w:r>
        <w:t>Urteil S 2023 66 3.1 Die Beschwerdegegnerin begründete den angefochtenen Entscheid damit, dass für den Beginn der 60-tägigen Verwirkungsfrist für den Anspruch auf Insolvenzentschädi- gung auf den Zeitpunkt des Rückzugs des Konkursbegehrens durch den Beschwerdefüh- rer am 13. April 2021 abgestellt werden müsse. Der vom Beschwerdeführer am 23. Januar 2023 (Eingangsdatum) eingereichte Antrag auf Insolvenzentschädigung sei damit ver- spätet. Die verspätete Eingabe sei sodann nicht aufgrund einer falschen oder fehlenden Auskunft seitens der Beschwerdegegnerin erfolgt, für welche diese einzustehen hätte (AK- act. 1). 3.2 Der Beschwerdeführer machte demgegenüber geltend, dass er den Antrag auf In- solvenzentschädigung fristgerecht eingereicht habe. Aufgrund der Revisionsberichte der B.________ der Jahre 2015 und 2016, die ihm vorgelegen hätten, hätten keine Indizien für eine offensichtliche Überschuldung der Firma bestanden. Wie er bereits beim Einreichen seines Antrags auf Insolvenzentschädigung am 23. Januar 2023 ausgeführt habe, sei er aus finanziellen Gründen gezwungen gewesen, die Gesuche um Konkurseröffnung am 13. April 2021 zurückzuziehen. Der vorliegende Sachverhalt sei demnach nach Art. 51 Abs. 1 lit. a AVIG zu beurteilen. Sollte wider Erwarten davon ausgegangen werden, dass die 60-tägige Frist zur Geltendmachung des Anspruchs auf Insolvenzentschädigung be- reits bei Rückzug der Konkursbegehren am 13. April 2021 zu laufen begonnen habe, sei festzustellen, dass die Beschwerdegegnerin ihrer Beratungs- und Informationspflicht nicht nachgekommen sei (act. 1). 4.</w:t>
      </w:r>
    </w:p>
    <w:p>
      <w:r>
        <w:rPr>
          <w:b/>
        </w:rPr>
        <w:t>E. 6.1</w:t>
      </w:r>
    </w:p>
    <w:p>
      <w:r>
        <w:t>Mangels einer entsprechenden Bestimmung im AVIG ist das Verfahren vor dem kantonalen Versicherungsgericht kostenlos (Art. 61 lit. fbis ATSG).</w:t>
      </w:r>
    </w:p>
    <w:p>
      <w:r>
        <w:rPr>
          <w:b/>
        </w:rPr>
        <w:t>E. 6.2</w:t>
      </w:r>
    </w:p>
    <w:p>
      <w:r>
        <w:t>Gemäss Art. 61 lit. g ATSG hat die obsiegende Beschwerde führende Person An- spruch auf Ersatz der Parteikosten. Diese werden vom Versicherungsgericht festgesetzt und ohne Rücksicht auf den Streitwert nach der Bedeutung der Streitsache und nach der Schwierigkeit des Prozesses bemessen. Darunter werden in der bisherigen Rechtspre- chung insbesondere die Vertretungskosten verstanden. Dazu zählen die Entschädigung, welche die vertretende Person geltend macht, und die Barauslagen der vertretenden Per- son. Sonstige Kosten der nicht vertretenen Partei werden nur ausnahmsweise übernom- men. Es muss sich um eine komplizierte Sache mit einem hohen Streitwert handeln, wobei der – in einem vernünftigen Rahmen betriebene – Aufwand denjenigen Rahmen über- schreitet, der von der Partei auf sich zu nehmen ist (BGE 110 V 132 E. 4d; Ueli Kieser, Kommentar zum Bundesgesetz über den Allgemeinen Teil des Sozialversicherungsrechts [ATSG], 4. Aufl. 2020, Art. 61 Rz. 215 ff.) Der Beschwerdeführer ist nicht vertreten, weshalb ihm keine Vertretungskosten entstan- den sind. Sonstige Kosten hat er nicht geltend gemacht. Auch wenn solche Kosten ent- standen wären, ist indes festzuhalten, dass vorliegend im Wesentlichen lediglich die Frage</w:t>
      </w:r>
    </w:p>
    <w:p>
      <w:r>
        <w:rPr>
          <w:b/>
        </w:rPr>
        <w:t>E. 7</w:t>
      </w:r>
    </w:p>
    <w:p>
      <w:r>
        <w:t>Urteil S 2023 66 vom 26. März 2021 sowie entsprechende Sanktionen betreffend Ausstellung des Arbeits- zeugnisses, Lohnabrechnungen und Lohnausweise (ALK-act. 9a–b). Weshalb der Be- schwerdeführer die Konkursbegehren zurückzog, geht aus den Eingaben vom 13. April 2021 somit nicht hervor. In der Folge erklärte der Beschwerdeführer im E-Mail an die Be- schwerdegegnerin vom 9. November 2021 betreffend Insolvenzentschädigung, dass es ihm – wie er bereits anlässlich des letztmaligen Treffens Ende März 2021 mitgeteilt habe – nicht gelungen sei, die ausstehenden Löhne von der B.________ zu erhalten. Aufgrund seiner finanziellen Situation (immer noch ohne Arbeit) sei er gezwungen gewesen, das Konkursbegehren gegen die Gesellschaft Ende April 2021 zurückzuziehen. Die Gerichts- kosten von Fr. 200.– habe er trotzdem bezahlen müssen. Seine Vermutung bezüglich der fehlenden Liquidität habe sich bestätigt. Denn inzwischen habe er eine Kopie des Befra- gungsprotokolls von G.________ durch die Genfer Polizei erhalten. Darin erkläre G.________, welche sich inzwischen als Verwaltungsrätin aus dem Handelsregister habe löschen lassen, dass die Gesellschaft bereits seit längerem über keine Bankguthaben mehr verfüge bzw. keine Geschäftstätigkeit mehr ausübe. Der Beschwerdeführer gehe somit davon aus, dass die Gesellschaft bald zwangsliquidiert werde. In diesem Zusam- menhang wäre er dankbar, wenn die Beschwerdegegnerin ihm mitteilen könnte, ob er nach Bekanntwerden der Konkurseröffnung bei ihr einen Antrag auf Insolvenzentschädi- gung stellen dürfe und was er dabei alles berücksichtigen müsse (ALK-act. 7). Diese An- gaben des Beschwerdeführers im E-Mail vom 9. November 2021 legen den Schluss nahe, dass er die beiden Konkursbegehren am 13. April 2021 in erster Linie aufgrund seiner ei- genen prekären finanziellen Situation zurückzog. Zum damaligen Zeitpunkt vermutete er, dass die Arbeitgeberin nicht liquid war. Von der offensichtlichen Überschuldung erfuhr er aber erst später, als er eine Kopie des Befragungsprotokolls von G.________ durch die Genfer Polizei erhielt. Vor diesem Hintergrund kann nicht als erstellt gelten, dass zwischen der offensichtlichen Überschuldung der Arbeitgeberin und der Nichtleistung des Kosten- vorschusses bzw. dem Rückzug der Konkursbegehren – wie vom Bundesgericht gefordert (BGE 134 V 88 E. 6.2) – ein direkter Zusammenhang bestand. Der Tatbestand von Art. 51 Abs. 1 lit. b AVIG ist damit nicht erfüllt.</w:t>
      </w:r>
    </w:p>
    <w:p>
      <w:r>
        <w:rPr>
          <w:b/>
        </w:rPr>
        <w:t>E. 8</w:t>
      </w:r>
    </w:p>
    <w:p>
      <w:r>
        <w:t>Urteil S 2023 66 F.________ wurde das Konkursverfahren mangels Aktiven eingestellt (www.zefix.ch). Die Einstellung des Konkursverfahrens wurde am I.________ im SHAB publiziert (BF-act. 9). Für den Beginn der 60-tägigen Frist zur Geltendmachung des Anspruchs auf Insolven- zentschädigung ist daher das Datum der Publikation der Einstellung des Konkurses am I.________ massgebend. Indem der Beschwerdeführer den Antrag auf Insolvenzentschä- digung am 23. Januar 2023 (Eingangsdatum) bei der Beschwerdegegnerin einreichte (ALK-act. 5), hat er die 60-tägige Frist gewahrt. Unter diesen Umständen erübrigen sich Erörterungen zur Beratungs- und Aufklärungs- pflicht der Beschwerdegegnerin nach Art. 27 ATSG. 5. Der angefochtene Entscheid ist demnach aufzuheben und die Sache an die Be- schwerdegegnerin zurückzuweisen, damit sie nach Prüfung der weiteren Anspruchsvor- aussetzungen erneut über einen Anspruch des Beschwerdeführers auf Insolvenzentschä- digung entscheide. In diesem Sinne ist die Beschwerde gutzuheissen. 6.</w:t>
      </w:r>
    </w:p>
    <w:p>
      <w:r>
        <w:rPr>
          <w:b/>
        </w:rPr>
        <w:t>E. 9</w:t>
      </w:r>
    </w:p>
    <w:p>
      <w:r>
        <w:t>Urteil S 2023 66 der Rechtzeitigkeit der Geltendmachung der Insolvenzentschädigung zu prüfen war. Die Sache war also weder komplex noch war zur Interessenwahrung ein hoher Arbeitsauf- wand erforderlich. Eine Parteientschädigung ist somit nicht zuzusprechen. Die Voraussetzungen für eine allfällige Genugtuung (Art. 47 und Art. 49 OR) sind offen- sichtlich nicht erfüllt, wobei im Gesetz – neben der Parteientschädigung – ohnehin keine zusätzliche Entschädigung im Sinne einer Genugtuung vorgesehen ist.</w:t>
      </w:r>
    </w:p>
    <w:p>
      <w:r>
        <w:rPr>
          <w:b/>
        </w:rPr>
        <w:t>E. 10</w:t>
      </w:r>
    </w:p>
    <w:p>
      <w:r>
        <w:t>Urteil S 2023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